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F404" w14:textId="06607409" w:rsidR="00C47F22" w:rsidRDefault="00C47F22" w:rsidP="00472EF8">
      <w:pPr>
        <w:pStyle w:val="Default"/>
        <w:rPr>
          <w:b/>
          <w:bCs/>
          <w:sz w:val="28"/>
          <w:szCs w:val="28"/>
        </w:rPr>
      </w:pPr>
    </w:p>
    <w:p w14:paraId="2BE8B860" w14:textId="77777777" w:rsidR="00675225" w:rsidRPr="003F7DFB" w:rsidRDefault="00675225" w:rsidP="00675225">
      <w:pPr>
        <w:autoSpaceDE w:val="0"/>
        <w:autoSpaceDN w:val="0"/>
        <w:adjustRightInd w:val="0"/>
        <w:rPr>
          <w:rFonts w:ascii="Arial" w:eastAsia="Calibri" w:hAnsi="Arial" w:cs="Arial"/>
          <w:b/>
          <w:bCs/>
          <w:sz w:val="28"/>
          <w:szCs w:val="28"/>
          <w:lang w:eastAsia="en-US"/>
        </w:rPr>
      </w:pPr>
      <w:r w:rsidRPr="003F7DFB">
        <w:rPr>
          <w:rFonts w:ascii="Arial" w:eastAsia="Calibri" w:hAnsi="Arial" w:cs="Arial"/>
          <w:b/>
          <w:bCs/>
          <w:sz w:val="28"/>
          <w:szCs w:val="28"/>
          <w:lang w:eastAsia="en-US"/>
        </w:rPr>
        <w:t>Terms of Reference: Children Young People Board</w:t>
      </w:r>
    </w:p>
    <w:p w14:paraId="19F5FADE" w14:textId="77777777" w:rsidR="00675225" w:rsidRPr="003F7DFB" w:rsidRDefault="00675225" w:rsidP="00675225">
      <w:pPr>
        <w:autoSpaceDE w:val="0"/>
        <w:autoSpaceDN w:val="0"/>
        <w:adjustRightInd w:val="0"/>
        <w:rPr>
          <w:rFonts w:ascii="Arial" w:eastAsia="Calibri" w:hAnsi="Arial" w:cs="Arial"/>
          <w:sz w:val="28"/>
          <w:szCs w:val="28"/>
          <w:lang w:eastAsia="en-US"/>
        </w:rPr>
      </w:pPr>
    </w:p>
    <w:p w14:paraId="0CA5CEC6"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w:t>
      </w:r>
      <w:r>
        <w:rPr>
          <w:rFonts w:ascii="Arial" w:eastAsia="Calibri" w:hAnsi="Arial" w:cs="Arial"/>
          <w:szCs w:val="22"/>
          <w:lang w:eastAsia="en-US"/>
        </w:rPr>
        <w:t xml:space="preserve"> and </w:t>
      </w:r>
      <w:r w:rsidRPr="003F7DFB">
        <w:rPr>
          <w:rFonts w:ascii="Arial" w:eastAsia="Calibri" w:hAnsi="Arial" w:cs="Arial"/>
          <w:szCs w:val="22"/>
          <w:lang w:eastAsia="en-US"/>
        </w:rPr>
        <w:t xml:space="preserve">social care. </w:t>
      </w:r>
    </w:p>
    <w:p w14:paraId="4FFA3747" w14:textId="77777777" w:rsidR="00675225" w:rsidRPr="003F7DFB" w:rsidRDefault="00675225" w:rsidP="00675225">
      <w:pPr>
        <w:autoSpaceDE w:val="0"/>
        <w:autoSpaceDN w:val="0"/>
        <w:adjustRightInd w:val="0"/>
        <w:ind w:left="720"/>
        <w:rPr>
          <w:rFonts w:ascii="Arial" w:eastAsia="Calibri" w:hAnsi="Arial" w:cs="Arial"/>
          <w:szCs w:val="22"/>
          <w:lang w:eastAsia="en-US"/>
        </w:rPr>
      </w:pPr>
    </w:p>
    <w:p w14:paraId="4D278538"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002E9ACD" w14:textId="77777777" w:rsidR="00675225" w:rsidRPr="003F7DFB" w:rsidRDefault="00675225" w:rsidP="00675225">
      <w:pPr>
        <w:autoSpaceDE w:val="0"/>
        <w:autoSpaceDN w:val="0"/>
        <w:adjustRightInd w:val="0"/>
        <w:rPr>
          <w:rFonts w:ascii="Arial" w:eastAsia="Calibri" w:hAnsi="Arial" w:cs="Arial"/>
          <w:szCs w:val="22"/>
          <w:lang w:eastAsia="en-US"/>
        </w:rPr>
      </w:pPr>
    </w:p>
    <w:p w14:paraId="16F55BB4"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The Children and Young People Board’s responsibilities include. </w:t>
      </w:r>
    </w:p>
    <w:p w14:paraId="5DCBC8D4" w14:textId="77777777" w:rsidR="00675225" w:rsidRPr="003F7DFB" w:rsidRDefault="00675225" w:rsidP="00675225">
      <w:pPr>
        <w:ind w:left="720"/>
        <w:contextualSpacing/>
        <w:rPr>
          <w:szCs w:val="22"/>
        </w:rPr>
      </w:pPr>
    </w:p>
    <w:p w14:paraId="6DE45D50"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Ensuring the priorities of councils are fed into the business planning process.</w:t>
      </w:r>
    </w:p>
    <w:p w14:paraId="6CDCB27B" w14:textId="77777777" w:rsidR="00675225" w:rsidRPr="003F7DFB" w:rsidRDefault="00675225" w:rsidP="00675225">
      <w:pPr>
        <w:autoSpaceDE w:val="0"/>
        <w:autoSpaceDN w:val="0"/>
        <w:adjustRightInd w:val="0"/>
        <w:ind w:left="792"/>
        <w:rPr>
          <w:rFonts w:ascii="Arial" w:eastAsia="Calibri" w:hAnsi="Arial" w:cs="Arial"/>
          <w:szCs w:val="22"/>
          <w:lang w:eastAsia="en-US"/>
        </w:rPr>
      </w:pPr>
    </w:p>
    <w:p w14:paraId="69B81297"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55AE1913" w14:textId="77777777" w:rsidR="00675225" w:rsidRPr="003F7DFB" w:rsidRDefault="00675225" w:rsidP="00675225">
      <w:pPr>
        <w:ind w:left="720"/>
        <w:contextualSpacing/>
        <w:rPr>
          <w:szCs w:val="22"/>
        </w:rPr>
      </w:pPr>
    </w:p>
    <w:p w14:paraId="1304CF2A"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Sharing good practice and ideas to stimulate innovation and improvement. </w:t>
      </w:r>
    </w:p>
    <w:p w14:paraId="3A8C28E5" w14:textId="77777777" w:rsidR="00675225" w:rsidRPr="003F7DFB" w:rsidRDefault="00675225" w:rsidP="00675225">
      <w:pPr>
        <w:ind w:left="720"/>
        <w:contextualSpacing/>
        <w:rPr>
          <w:szCs w:val="22"/>
        </w:rPr>
      </w:pPr>
    </w:p>
    <w:p w14:paraId="2E099A3B"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Representing and lobbying on behalf of the LGA including making public statements on its area of responsibility. </w:t>
      </w:r>
    </w:p>
    <w:p w14:paraId="416E9663" w14:textId="77777777" w:rsidR="00675225" w:rsidRPr="003F7DFB" w:rsidRDefault="00675225" w:rsidP="00675225">
      <w:pPr>
        <w:ind w:left="720"/>
        <w:contextualSpacing/>
        <w:rPr>
          <w:szCs w:val="22"/>
        </w:rPr>
      </w:pPr>
    </w:p>
    <w:p w14:paraId="4A8C1C58"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Building and maintaining relationships with key stakeholders. </w:t>
      </w:r>
    </w:p>
    <w:p w14:paraId="7C2847A3" w14:textId="77777777" w:rsidR="00675225" w:rsidRPr="003F7DFB" w:rsidRDefault="00675225" w:rsidP="00675225">
      <w:pPr>
        <w:ind w:left="720"/>
        <w:contextualSpacing/>
        <w:rPr>
          <w:szCs w:val="22"/>
        </w:rPr>
      </w:pPr>
    </w:p>
    <w:p w14:paraId="30513918"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Involving representatives from councils in its work, through task groups, Commissions, SIGs, regional networks and mechanisms. </w:t>
      </w:r>
    </w:p>
    <w:p w14:paraId="37081161" w14:textId="77777777" w:rsidR="00675225" w:rsidRPr="003F7DFB" w:rsidRDefault="00675225" w:rsidP="00675225">
      <w:pPr>
        <w:ind w:left="720"/>
        <w:contextualSpacing/>
        <w:rPr>
          <w:szCs w:val="22"/>
        </w:rPr>
      </w:pPr>
    </w:p>
    <w:p w14:paraId="4B8F90E7"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Responding to specific issues referred to the Board by one or more member councils or groupings of councils. </w:t>
      </w:r>
    </w:p>
    <w:p w14:paraId="5DB6BF83" w14:textId="77777777" w:rsidR="00675225" w:rsidRPr="003F7DFB" w:rsidRDefault="00675225" w:rsidP="00675225">
      <w:pPr>
        <w:autoSpaceDE w:val="0"/>
        <w:autoSpaceDN w:val="0"/>
        <w:adjustRightInd w:val="0"/>
        <w:rPr>
          <w:rFonts w:ascii="Arial" w:eastAsia="Calibri" w:hAnsi="Arial" w:cs="Arial"/>
          <w:szCs w:val="22"/>
          <w:lang w:eastAsia="en-US"/>
        </w:rPr>
      </w:pPr>
    </w:p>
    <w:p w14:paraId="46DDFD60"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The Children and Young People Board may: </w:t>
      </w:r>
    </w:p>
    <w:p w14:paraId="4D4E1E39" w14:textId="77777777" w:rsidR="00675225" w:rsidRPr="003F7DFB" w:rsidRDefault="00675225" w:rsidP="00675225">
      <w:pPr>
        <w:autoSpaceDE w:val="0"/>
        <w:autoSpaceDN w:val="0"/>
        <w:adjustRightInd w:val="0"/>
        <w:ind w:left="360"/>
        <w:rPr>
          <w:rFonts w:ascii="Arial" w:eastAsia="Calibri" w:hAnsi="Arial" w:cs="Arial"/>
          <w:szCs w:val="22"/>
          <w:lang w:eastAsia="en-US"/>
        </w:rPr>
      </w:pPr>
    </w:p>
    <w:p w14:paraId="48EA3C16"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Appoint members to relevant outside bodies in accordance with the Political Conventions. </w:t>
      </w:r>
    </w:p>
    <w:p w14:paraId="5D0FE77D" w14:textId="77777777" w:rsidR="00675225" w:rsidRPr="003F7DFB" w:rsidRDefault="00675225" w:rsidP="00675225">
      <w:pPr>
        <w:autoSpaceDE w:val="0"/>
        <w:autoSpaceDN w:val="0"/>
        <w:adjustRightInd w:val="0"/>
        <w:rPr>
          <w:rFonts w:ascii="Arial" w:eastAsia="Calibri" w:hAnsi="Arial" w:cs="Arial"/>
          <w:szCs w:val="22"/>
          <w:lang w:eastAsia="en-US"/>
        </w:rPr>
      </w:pPr>
    </w:p>
    <w:p w14:paraId="46309BE6" w14:textId="77777777" w:rsidR="00675225" w:rsidRPr="003F7DFB" w:rsidRDefault="00675225" w:rsidP="00675225">
      <w:pPr>
        <w:numPr>
          <w:ilvl w:val="1"/>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Appoint member champions from the Board to lead on key issues, with responsibility for liaising with portfolio holders on key issues that require rapid response/contact with councils. </w:t>
      </w:r>
    </w:p>
    <w:p w14:paraId="51D99933" w14:textId="77777777" w:rsidR="00675225" w:rsidRPr="003F7DFB" w:rsidRDefault="00675225" w:rsidP="00675225">
      <w:pPr>
        <w:autoSpaceDE w:val="0"/>
        <w:autoSpaceDN w:val="0"/>
        <w:adjustRightInd w:val="0"/>
        <w:rPr>
          <w:rFonts w:ascii="Arial" w:eastAsia="Calibri" w:hAnsi="Arial" w:cs="Arial"/>
          <w:szCs w:val="22"/>
          <w:lang w:eastAsia="en-US"/>
        </w:rPr>
      </w:pPr>
    </w:p>
    <w:p w14:paraId="23D720C8" w14:textId="77777777" w:rsidR="00675225" w:rsidRPr="003F7DFB" w:rsidRDefault="00675225" w:rsidP="00675225">
      <w:pPr>
        <w:autoSpaceDE w:val="0"/>
        <w:autoSpaceDN w:val="0"/>
        <w:adjustRightInd w:val="0"/>
        <w:rPr>
          <w:rFonts w:ascii="Arial" w:eastAsia="Calibri" w:hAnsi="Arial" w:cs="Arial"/>
          <w:b/>
          <w:bCs/>
          <w:szCs w:val="22"/>
          <w:lang w:eastAsia="en-US"/>
        </w:rPr>
      </w:pPr>
      <w:r w:rsidRPr="003F7DFB">
        <w:rPr>
          <w:rFonts w:ascii="Arial" w:eastAsia="Calibri" w:hAnsi="Arial" w:cs="Arial"/>
          <w:b/>
          <w:bCs/>
          <w:szCs w:val="22"/>
          <w:lang w:eastAsia="en-US"/>
        </w:rPr>
        <w:t xml:space="preserve">Quorum </w:t>
      </w:r>
    </w:p>
    <w:p w14:paraId="0F1157AD" w14:textId="77777777" w:rsidR="00675225" w:rsidRPr="003F7DFB" w:rsidRDefault="00675225" w:rsidP="00675225">
      <w:pPr>
        <w:autoSpaceDE w:val="0"/>
        <w:autoSpaceDN w:val="0"/>
        <w:adjustRightInd w:val="0"/>
        <w:rPr>
          <w:rFonts w:ascii="Arial" w:eastAsia="Calibri" w:hAnsi="Arial" w:cs="Arial"/>
          <w:szCs w:val="22"/>
          <w:lang w:eastAsia="en-US"/>
        </w:rPr>
      </w:pPr>
    </w:p>
    <w:p w14:paraId="275D321C"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One third of the members, provided that representatives of at least 2 political groups represented on the body are present. </w:t>
      </w:r>
    </w:p>
    <w:p w14:paraId="2516B348" w14:textId="77777777" w:rsidR="00675225" w:rsidRPr="003F7DFB" w:rsidRDefault="00675225" w:rsidP="00675225">
      <w:pPr>
        <w:autoSpaceDE w:val="0"/>
        <w:autoSpaceDN w:val="0"/>
        <w:adjustRightInd w:val="0"/>
        <w:rPr>
          <w:rFonts w:ascii="Arial" w:eastAsia="Calibri" w:hAnsi="Arial" w:cs="Arial"/>
          <w:b/>
          <w:bCs/>
          <w:szCs w:val="22"/>
          <w:lang w:eastAsia="en-US"/>
        </w:rPr>
      </w:pPr>
      <w:bookmarkStart w:id="0" w:name="_GoBack"/>
      <w:bookmarkEnd w:id="0"/>
    </w:p>
    <w:p w14:paraId="72E8A825" w14:textId="77777777" w:rsidR="00675225" w:rsidRPr="003F7DFB" w:rsidRDefault="00675225" w:rsidP="00675225">
      <w:pPr>
        <w:autoSpaceDE w:val="0"/>
        <w:autoSpaceDN w:val="0"/>
        <w:adjustRightInd w:val="0"/>
        <w:rPr>
          <w:rFonts w:ascii="Arial" w:eastAsia="Calibri" w:hAnsi="Arial" w:cs="Arial"/>
          <w:b/>
          <w:bCs/>
          <w:szCs w:val="22"/>
          <w:lang w:eastAsia="en-US"/>
        </w:rPr>
      </w:pPr>
      <w:r w:rsidRPr="003F7DFB">
        <w:rPr>
          <w:rFonts w:ascii="Arial" w:eastAsia="Calibri" w:hAnsi="Arial" w:cs="Arial"/>
          <w:b/>
          <w:bCs/>
          <w:szCs w:val="22"/>
          <w:lang w:eastAsia="en-US"/>
        </w:rPr>
        <w:t xml:space="preserve">Political Composition </w:t>
      </w:r>
    </w:p>
    <w:p w14:paraId="62878F39" w14:textId="77777777" w:rsidR="00675225" w:rsidRPr="003F7DFB" w:rsidRDefault="00675225" w:rsidP="00675225">
      <w:pPr>
        <w:autoSpaceDE w:val="0"/>
        <w:autoSpaceDN w:val="0"/>
        <w:adjustRightInd w:val="0"/>
        <w:rPr>
          <w:rFonts w:ascii="Arial" w:eastAsia="Calibri" w:hAnsi="Arial" w:cs="Arial"/>
          <w:b/>
          <w:bCs/>
          <w:szCs w:val="22"/>
          <w:lang w:eastAsia="en-US"/>
        </w:rPr>
      </w:pPr>
    </w:p>
    <w:p w14:paraId="058E5A3F"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Conservative group: 8 members </w:t>
      </w:r>
    </w:p>
    <w:p w14:paraId="4128E2E0"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Labour group: 7 members </w:t>
      </w:r>
    </w:p>
    <w:p w14:paraId="589489DC" w14:textId="77777777" w:rsidR="00675225"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lastRenderedPageBreak/>
        <w:t xml:space="preserve">Liberal Democrat group: 2 members </w:t>
      </w:r>
    </w:p>
    <w:p w14:paraId="557998A2" w14:textId="77777777" w:rsidR="00675225" w:rsidRPr="00310F28"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Independent group: 1</w:t>
      </w:r>
      <w:r>
        <w:rPr>
          <w:rFonts w:ascii="Arial" w:eastAsia="Calibri" w:hAnsi="Arial" w:cs="Arial"/>
          <w:szCs w:val="22"/>
          <w:lang w:eastAsia="en-US"/>
        </w:rPr>
        <w:t xml:space="preserve"> members </w:t>
      </w:r>
    </w:p>
    <w:p w14:paraId="34E16548" w14:textId="77777777" w:rsidR="00675225" w:rsidRPr="003F7DFB" w:rsidRDefault="00675225" w:rsidP="00675225">
      <w:pPr>
        <w:autoSpaceDE w:val="0"/>
        <w:autoSpaceDN w:val="0"/>
        <w:adjustRightInd w:val="0"/>
        <w:ind w:left="360"/>
        <w:rPr>
          <w:rFonts w:ascii="Arial" w:eastAsia="Calibri" w:hAnsi="Arial" w:cs="Arial"/>
          <w:szCs w:val="22"/>
          <w:lang w:eastAsia="en-US"/>
        </w:rPr>
      </w:pPr>
    </w:p>
    <w:p w14:paraId="45F73A3F"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Substitute members from each political group may also be appointed. </w:t>
      </w:r>
    </w:p>
    <w:p w14:paraId="38825A7B" w14:textId="77777777" w:rsidR="00675225" w:rsidRPr="003F7DFB" w:rsidRDefault="00675225" w:rsidP="00675225">
      <w:pPr>
        <w:autoSpaceDE w:val="0"/>
        <w:autoSpaceDN w:val="0"/>
        <w:adjustRightInd w:val="0"/>
        <w:rPr>
          <w:rFonts w:ascii="Arial" w:eastAsia="Calibri" w:hAnsi="Arial" w:cs="Arial"/>
          <w:szCs w:val="22"/>
          <w:lang w:eastAsia="en-US"/>
        </w:rPr>
      </w:pPr>
    </w:p>
    <w:p w14:paraId="7BD5E11E" w14:textId="77777777" w:rsidR="00675225" w:rsidRPr="003F7DFB" w:rsidRDefault="00675225" w:rsidP="00675225">
      <w:pPr>
        <w:autoSpaceDE w:val="0"/>
        <w:autoSpaceDN w:val="0"/>
        <w:adjustRightInd w:val="0"/>
        <w:rPr>
          <w:rFonts w:ascii="Arial" w:eastAsia="Calibri" w:hAnsi="Arial" w:cs="Arial"/>
          <w:b/>
          <w:bCs/>
          <w:szCs w:val="22"/>
          <w:lang w:eastAsia="en-US"/>
        </w:rPr>
      </w:pPr>
      <w:r w:rsidRPr="003F7DFB">
        <w:rPr>
          <w:rFonts w:ascii="Arial" w:eastAsia="Calibri" w:hAnsi="Arial" w:cs="Arial"/>
          <w:b/>
          <w:bCs/>
          <w:szCs w:val="22"/>
          <w:lang w:eastAsia="en-US"/>
        </w:rPr>
        <w:t xml:space="preserve">Frequency per year </w:t>
      </w:r>
    </w:p>
    <w:p w14:paraId="572A4431" w14:textId="77777777" w:rsidR="00675225" w:rsidRPr="003F7DFB" w:rsidRDefault="00675225" w:rsidP="00675225">
      <w:pPr>
        <w:autoSpaceDE w:val="0"/>
        <w:autoSpaceDN w:val="0"/>
        <w:adjustRightInd w:val="0"/>
        <w:rPr>
          <w:rFonts w:ascii="Arial" w:eastAsia="Calibri" w:hAnsi="Arial" w:cs="Arial"/>
          <w:szCs w:val="22"/>
          <w:lang w:eastAsia="en-US"/>
        </w:rPr>
      </w:pPr>
    </w:p>
    <w:p w14:paraId="0B86F53A"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Meetings to be held five times a year. </w:t>
      </w:r>
    </w:p>
    <w:p w14:paraId="537A7B59" w14:textId="77777777" w:rsidR="00675225" w:rsidRPr="003F7DFB" w:rsidRDefault="00675225" w:rsidP="00675225">
      <w:pPr>
        <w:autoSpaceDE w:val="0"/>
        <w:autoSpaceDN w:val="0"/>
        <w:adjustRightInd w:val="0"/>
        <w:rPr>
          <w:rFonts w:ascii="Arial" w:eastAsia="Calibri" w:hAnsi="Arial" w:cs="Arial"/>
          <w:szCs w:val="22"/>
          <w:lang w:eastAsia="en-US"/>
        </w:rPr>
      </w:pPr>
    </w:p>
    <w:p w14:paraId="1CDAF7E6" w14:textId="77777777" w:rsidR="00675225" w:rsidRPr="003F7DFB" w:rsidRDefault="00675225" w:rsidP="00675225">
      <w:pPr>
        <w:autoSpaceDE w:val="0"/>
        <w:autoSpaceDN w:val="0"/>
        <w:adjustRightInd w:val="0"/>
        <w:rPr>
          <w:rFonts w:ascii="Arial" w:eastAsia="Calibri" w:hAnsi="Arial" w:cs="Arial"/>
          <w:b/>
          <w:bCs/>
          <w:szCs w:val="22"/>
          <w:lang w:eastAsia="en-US"/>
        </w:rPr>
      </w:pPr>
      <w:r w:rsidRPr="003F7DFB">
        <w:rPr>
          <w:rFonts w:ascii="Arial" w:eastAsia="Calibri" w:hAnsi="Arial" w:cs="Arial"/>
          <w:b/>
          <w:bCs/>
          <w:szCs w:val="22"/>
          <w:lang w:eastAsia="en-US"/>
        </w:rPr>
        <w:t xml:space="preserve">Reporting Accountabilities </w:t>
      </w:r>
    </w:p>
    <w:p w14:paraId="176501FB" w14:textId="77777777" w:rsidR="00675225" w:rsidRPr="003F7DFB" w:rsidRDefault="00675225" w:rsidP="00675225">
      <w:pPr>
        <w:autoSpaceDE w:val="0"/>
        <w:autoSpaceDN w:val="0"/>
        <w:adjustRightInd w:val="0"/>
        <w:rPr>
          <w:rFonts w:ascii="Arial" w:eastAsia="Calibri" w:hAnsi="Arial" w:cs="Arial"/>
          <w:szCs w:val="22"/>
          <w:lang w:eastAsia="en-US"/>
        </w:rPr>
      </w:pPr>
    </w:p>
    <w:p w14:paraId="1909C258" w14:textId="77777777" w:rsidR="00675225" w:rsidRPr="003F7DFB" w:rsidRDefault="00675225" w:rsidP="00675225">
      <w:pPr>
        <w:numPr>
          <w:ilvl w:val="0"/>
          <w:numId w:val="3"/>
        </w:numPr>
        <w:autoSpaceDE w:val="0"/>
        <w:autoSpaceDN w:val="0"/>
        <w:adjustRightInd w:val="0"/>
        <w:rPr>
          <w:rFonts w:ascii="Arial" w:eastAsia="Calibri" w:hAnsi="Arial" w:cs="Arial"/>
          <w:szCs w:val="22"/>
          <w:lang w:eastAsia="en-US"/>
        </w:rPr>
      </w:pPr>
      <w:r w:rsidRPr="003F7DFB">
        <w:rPr>
          <w:rFonts w:ascii="Arial" w:eastAsia="Calibri" w:hAnsi="Arial" w:cs="Arial"/>
          <w:szCs w:val="22"/>
          <w:lang w:eastAsia="en-US"/>
        </w:rPr>
        <w:t xml:space="preserve">The LGA Executive provides oversight of the Board. The Board may report periodically to the LGA Executive as required, and will submit an annual report to the Executive’s July meeting. </w:t>
      </w:r>
    </w:p>
    <w:p w14:paraId="26715A60" w14:textId="77777777" w:rsidR="00675225" w:rsidRPr="003F7DFB" w:rsidRDefault="00675225" w:rsidP="00675225">
      <w:pPr>
        <w:rPr>
          <w:rFonts w:ascii="Arial" w:hAnsi="Arial" w:cs="Arial"/>
          <w:szCs w:val="22"/>
        </w:rPr>
      </w:pPr>
    </w:p>
    <w:p w14:paraId="28D5EC1B" w14:textId="77777777" w:rsidR="006F5FED" w:rsidRPr="00891AE9" w:rsidRDefault="00675225" w:rsidP="00675225">
      <w:pPr>
        <w:pStyle w:val="Default"/>
      </w:pPr>
    </w:p>
    <w:sectPr w:rsidR="006F5FED" w:rsidRPr="00891AE9" w:rsidSect="008D754A">
      <w:headerReference w:type="default" r:id="rId10"/>
      <w:pgSz w:w="11906" w:h="17338"/>
      <w:pgMar w:top="1877" w:right="1151" w:bottom="1440" w:left="120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85655" w14:textId="77777777" w:rsidR="00C47F22" w:rsidRDefault="00C47F22" w:rsidP="00C47F22">
      <w:r>
        <w:separator/>
      </w:r>
    </w:p>
  </w:endnote>
  <w:endnote w:type="continuationSeparator" w:id="0">
    <w:p w14:paraId="1C82C9EA" w14:textId="77777777" w:rsidR="00C47F22" w:rsidRDefault="00C47F22" w:rsidP="00C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33BEE" w14:textId="77777777" w:rsidR="00C47F22" w:rsidRDefault="00C47F22" w:rsidP="00C47F22">
      <w:r>
        <w:separator/>
      </w:r>
    </w:p>
  </w:footnote>
  <w:footnote w:type="continuationSeparator" w:id="0">
    <w:p w14:paraId="2B9FB037" w14:textId="77777777" w:rsidR="00C47F22" w:rsidRDefault="00C47F22" w:rsidP="00C4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FE32" w14:textId="32AD4C0E" w:rsidR="00C47F22" w:rsidRPr="0025192B" w:rsidRDefault="00C47F22">
    <w:pPr>
      <w:pStyle w:val="Header"/>
      <w:rPr>
        <w:rFonts w:ascii="Arial" w:hAnsi="Arial" w:cs="Arial"/>
      </w:rPr>
    </w:pPr>
    <w:r w:rsidRPr="0025192B">
      <w:rPr>
        <w:rFonts w:ascii="Arial" w:hAnsi="Arial" w:cs="Arial"/>
        <w:noProof/>
      </w:rPr>
      <w:drawing>
        <wp:inline distT="0" distB="0" distL="0" distR="0" wp14:anchorId="3D4B900D" wp14:editId="16E209D5">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1642EA"/>
    <w:multiLevelType w:val="hybridMultilevel"/>
    <w:tmpl w:val="7F86A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57"/>
    <w:rsid w:val="001B36CE"/>
    <w:rsid w:val="0025192B"/>
    <w:rsid w:val="00433E6B"/>
    <w:rsid w:val="00472EF8"/>
    <w:rsid w:val="00675225"/>
    <w:rsid w:val="00891AE9"/>
    <w:rsid w:val="00922757"/>
    <w:rsid w:val="00C47F22"/>
    <w:rsid w:val="00C6322E"/>
    <w:rsid w:val="00D20F2D"/>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B821"/>
  <w15:chartTrackingRefBased/>
  <w15:docId w15:val="{9354566D-90ED-4012-ABF0-F978210D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57"/>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922757"/>
    <w:pPr>
      <w:keepNext/>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757"/>
    <w:rPr>
      <w:rFonts w:ascii="Frutiger 45 Light" w:eastAsia="Times New Roman" w:hAnsi="Frutiger 45 Light" w:cs="Times New Roman"/>
      <w:b/>
      <w:szCs w:val="20"/>
    </w:rPr>
  </w:style>
  <w:style w:type="paragraph" w:styleId="ListParagraph">
    <w:name w:val="List Paragraph"/>
    <w:basedOn w:val="Normal"/>
    <w:uiPriority w:val="34"/>
    <w:qFormat/>
    <w:rsid w:val="00922757"/>
    <w:pPr>
      <w:ind w:left="720"/>
      <w:contextualSpacing/>
    </w:pPr>
  </w:style>
  <w:style w:type="paragraph" w:customStyle="1" w:styleId="Default">
    <w:name w:val="Default"/>
    <w:rsid w:val="00472E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7F22"/>
    <w:pPr>
      <w:tabs>
        <w:tab w:val="center" w:pos="4513"/>
        <w:tab w:val="right" w:pos="9026"/>
      </w:tabs>
    </w:pPr>
  </w:style>
  <w:style w:type="character" w:customStyle="1" w:styleId="HeaderChar">
    <w:name w:val="Header Char"/>
    <w:basedOn w:val="DefaultParagraphFont"/>
    <w:link w:val="Header"/>
    <w:uiPriority w:val="99"/>
    <w:rsid w:val="00C47F2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C47F22"/>
    <w:pPr>
      <w:tabs>
        <w:tab w:val="center" w:pos="4513"/>
        <w:tab w:val="right" w:pos="9026"/>
      </w:tabs>
    </w:pPr>
  </w:style>
  <w:style w:type="character" w:customStyle="1" w:styleId="FooterChar">
    <w:name w:val="Footer Char"/>
    <w:basedOn w:val="DefaultParagraphFont"/>
    <w:link w:val="Footer"/>
    <w:uiPriority w:val="99"/>
    <w:rsid w:val="00C47F2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EA18B-0C53-456A-9248-CB98BD8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37951-FCC7-4BC4-A409-E5B06C031426}">
  <ds:schemaRefs>
    <ds:schemaRef ds:uri="http://www.w3.org/XML/1998/namespace"/>
    <ds:schemaRef ds:uri="1c8a0e75-f4bc-4eb4-8ed0-578eaea9e1ca"/>
    <ds:schemaRef ds:uri="http://purl.org/dc/dcmitype/"/>
    <ds:schemaRef ds:uri="http://schemas.microsoft.com/office/2006/metadata/properties"/>
    <ds:schemaRef ds:uri="http://purl.org/dc/elements/1.1/"/>
    <ds:schemaRef ds:uri="http://schemas.microsoft.com/office/2006/documentManagement/types"/>
    <ds:schemaRef ds:uri="c8febe6a-14d9-43ab-83c3-c48f478fa47c"/>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C91EDD5-1665-4B12-BCE4-ABF4167DC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CD0AE6CE</Template>
  <TotalTime>5</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Alexander Saul</cp:lastModifiedBy>
  <cp:revision>9</cp:revision>
  <dcterms:created xsi:type="dcterms:W3CDTF">2016-07-26T14:38:00Z</dcterms:created>
  <dcterms:modified xsi:type="dcterms:W3CDTF">2017-09-04T19:08:00Z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