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958a08d5a38431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F6694" w14:textId="77777777" w:rsidR="00CE4614" w:rsidRPr="00CE4614" w:rsidRDefault="00CE4614" w:rsidP="00CE4614">
      <w:pPr>
        <w:spacing w:after="0" w:line="240" w:lineRule="auto"/>
        <w:rPr>
          <w:rFonts w:ascii="Arial" w:hAnsi="Arial" w:cs="Arial"/>
          <w:b/>
          <w:sz w:val="28"/>
          <w:szCs w:val="28"/>
        </w:rPr>
      </w:pPr>
      <w:r w:rsidRPr="00CE4614">
        <w:rPr>
          <w:rFonts w:ascii="Arial" w:hAnsi="Arial" w:cs="Arial"/>
          <w:b/>
          <w:sz w:val="28"/>
          <w:szCs w:val="28"/>
        </w:rPr>
        <w:t xml:space="preserve">Community Wellbeing Board –from Cllr </w:t>
      </w:r>
      <w:proofErr w:type="spellStart"/>
      <w:r w:rsidRPr="00CE4614">
        <w:rPr>
          <w:rFonts w:ascii="Arial" w:hAnsi="Arial" w:cs="Arial"/>
          <w:b/>
          <w:sz w:val="28"/>
          <w:szCs w:val="28"/>
        </w:rPr>
        <w:t>Izzi</w:t>
      </w:r>
      <w:proofErr w:type="spellEnd"/>
      <w:r w:rsidRPr="00CE4614">
        <w:rPr>
          <w:rFonts w:ascii="Arial" w:hAnsi="Arial" w:cs="Arial"/>
          <w:b/>
          <w:sz w:val="28"/>
          <w:szCs w:val="28"/>
        </w:rPr>
        <w:t xml:space="preserve"> </w:t>
      </w:r>
      <w:proofErr w:type="spellStart"/>
      <w:r w:rsidRPr="00CE4614">
        <w:rPr>
          <w:rFonts w:ascii="Arial" w:hAnsi="Arial" w:cs="Arial"/>
          <w:b/>
          <w:sz w:val="28"/>
          <w:szCs w:val="28"/>
        </w:rPr>
        <w:t>Seccome</w:t>
      </w:r>
      <w:proofErr w:type="spellEnd"/>
      <w:r w:rsidRPr="00CE4614">
        <w:rPr>
          <w:rFonts w:ascii="Arial" w:hAnsi="Arial" w:cs="Arial"/>
          <w:b/>
          <w:sz w:val="28"/>
          <w:szCs w:val="28"/>
        </w:rPr>
        <w:t xml:space="preserve"> (Chair)</w:t>
      </w:r>
    </w:p>
    <w:p w14:paraId="659F6695" w14:textId="77777777" w:rsidR="00CE4614" w:rsidRPr="00CE4614" w:rsidRDefault="00CE4614" w:rsidP="00CE4614">
      <w:pPr>
        <w:spacing w:after="0" w:line="240" w:lineRule="auto"/>
        <w:rPr>
          <w:rFonts w:ascii="Arial" w:hAnsi="Arial" w:cs="Arial"/>
        </w:rPr>
      </w:pPr>
    </w:p>
    <w:p w14:paraId="659F6696" w14:textId="77777777" w:rsidR="00CE4614" w:rsidRPr="00CE4614" w:rsidRDefault="00CE4614" w:rsidP="00CE4614">
      <w:pPr>
        <w:spacing w:after="0" w:line="240" w:lineRule="auto"/>
        <w:rPr>
          <w:rFonts w:ascii="Arial" w:hAnsi="Arial" w:cs="Arial"/>
        </w:rPr>
      </w:pPr>
    </w:p>
    <w:p w14:paraId="659F6697" w14:textId="77777777" w:rsidR="00CE4614" w:rsidRPr="00CE4614" w:rsidRDefault="00CE4614" w:rsidP="00CE4614">
      <w:pPr>
        <w:spacing w:after="0" w:line="240" w:lineRule="auto"/>
        <w:rPr>
          <w:rFonts w:ascii="Arial" w:hAnsi="Arial" w:cs="Arial"/>
          <w:b/>
        </w:rPr>
      </w:pPr>
      <w:r w:rsidRPr="00CE4614">
        <w:rPr>
          <w:rFonts w:ascii="Arial" w:hAnsi="Arial" w:cs="Arial"/>
          <w:b/>
        </w:rPr>
        <w:t>Adult Social Care</w:t>
      </w:r>
    </w:p>
    <w:p w14:paraId="659F6698" w14:textId="77777777" w:rsidR="00CE4614" w:rsidRPr="00CE4614" w:rsidRDefault="00CE4614" w:rsidP="00CE4614">
      <w:pPr>
        <w:spacing w:after="0" w:line="240" w:lineRule="auto"/>
        <w:rPr>
          <w:rFonts w:ascii="Arial" w:hAnsi="Arial" w:cs="Arial"/>
        </w:rPr>
      </w:pPr>
    </w:p>
    <w:p w14:paraId="659F6699" w14:textId="77777777" w:rsidR="00CE4614" w:rsidRPr="00CE4614" w:rsidRDefault="00CE4614" w:rsidP="00746ABA">
      <w:pPr>
        <w:numPr>
          <w:ilvl w:val="0"/>
          <w:numId w:val="8"/>
        </w:numPr>
        <w:spacing w:after="0" w:line="240" w:lineRule="auto"/>
        <w:ind w:left="426" w:hanging="426"/>
        <w:contextualSpacing/>
        <w:rPr>
          <w:rFonts w:ascii="Arial" w:hAnsi="Arial" w:cs="Arial"/>
          <w:bCs/>
        </w:rPr>
      </w:pPr>
      <w:r w:rsidRPr="00CE4614">
        <w:rPr>
          <w:rFonts w:ascii="Arial" w:eastAsia="Times New Roman" w:hAnsi="Arial" w:cs="Arial"/>
          <w:lang w:eastAsia="en-GB"/>
        </w:rPr>
        <w:t>5 September 2014, Gillian Ford attended the Dementia Friendly Communities Steering Group</w:t>
      </w:r>
    </w:p>
    <w:p w14:paraId="659F669A" w14:textId="77777777" w:rsidR="00CE4614" w:rsidRPr="00CE4614" w:rsidRDefault="00CE4614" w:rsidP="00CE4614">
      <w:pPr>
        <w:spacing w:after="0" w:line="240" w:lineRule="auto"/>
        <w:ind w:left="567"/>
        <w:contextualSpacing/>
        <w:rPr>
          <w:rFonts w:ascii="Arial" w:hAnsi="Arial" w:cs="Arial"/>
          <w:bCs/>
        </w:rPr>
      </w:pPr>
    </w:p>
    <w:p w14:paraId="659F669B" w14:textId="77777777" w:rsidR="00CE4614" w:rsidRPr="00CE4614" w:rsidRDefault="00CE4614" w:rsidP="00746ABA">
      <w:pPr>
        <w:numPr>
          <w:ilvl w:val="0"/>
          <w:numId w:val="8"/>
        </w:numPr>
        <w:spacing w:after="0" w:line="240" w:lineRule="auto"/>
        <w:ind w:left="426" w:hanging="426"/>
        <w:contextualSpacing/>
        <w:rPr>
          <w:rFonts w:ascii="Arial" w:hAnsi="Arial" w:cs="Arial"/>
          <w:bCs/>
        </w:rPr>
      </w:pPr>
      <w:r w:rsidRPr="00CE4614">
        <w:rPr>
          <w:rFonts w:ascii="Arial" w:eastAsia="Times New Roman" w:hAnsi="Arial" w:cs="Arial"/>
          <w:lang w:eastAsia="en-GB"/>
        </w:rPr>
        <w:t xml:space="preserve">9 September 2014, Norman Lamb MP attended the CWB forward planning workshop where he set out the </w:t>
      </w:r>
      <w:proofErr w:type="gramStart"/>
      <w:r w:rsidRPr="00CE4614">
        <w:rPr>
          <w:rFonts w:ascii="Arial" w:eastAsia="Times New Roman" w:hAnsi="Arial" w:cs="Arial"/>
          <w:lang w:eastAsia="en-GB"/>
        </w:rPr>
        <w:t>departments</w:t>
      </w:r>
      <w:proofErr w:type="gramEnd"/>
      <w:r w:rsidRPr="00CE4614">
        <w:rPr>
          <w:rFonts w:ascii="Arial" w:eastAsia="Times New Roman" w:hAnsi="Arial" w:cs="Arial"/>
          <w:lang w:eastAsia="en-GB"/>
        </w:rPr>
        <w:t xml:space="preserve"> priorities for 2014-15.  A frank discussion took place on the financial pressures being faced by Local authorities and the impact this may have on vulnerable people in their areas and on the roll-out of the Care Act</w:t>
      </w:r>
    </w:p>
    <w:p w14:paraId="659F669C" w14:textId="77777777" w:rsidR="00CE4614" w:rsidRPr="00CE4614" w:rsidRDefault="00CE4614" w:rsidP="00CE4614">
      <w:pPr>
        <w:spacing w:after="0" w:line="240" w:lineRule="auto"/>
        <w:ind w:left="360"/>
        <w:contextualSpacing/>
        <w:rPr>
          <w:rFonts w:ascii="Arial" w:hAnsi="Arial" w:cs="Arial"/>
          <w:bCs/>
        </w:rPr>
      </w:pPr>
    </w:p>
    <w:p w14:paraId="659F669D" w14:textId="77777777" w:rsidR="00CE4614" w:rsidRPr="00CE4614" w:rsidRDefault="00CE4614" w:rsidP="00746ABA">
      <w:pPr>
        <w:numPr>
          <w:ilvl w:val="0"/>
          <w:numId w:val="8"/>
        </w:numPr>
        <w:ind w:left="426" w:hanging="426"/>
        <w:contextualSpacing/>
        <w:rPr>
          <w:rFonts w:ascii="Arial" w:hAnsi="Arial" w:cs="Arial"/>
          <w:bCs/>
        </w:rPr>
      </w:pPr>
      <w:r w:rsidRPr="00CE4614">
        <w:rPr>
          <w:rFonts w:ascii="Arial" w:hAnsi="Arial" w:cs="Arial"/>
          <w:bCs/>
        </w:rPr>
        <w:t>10 September 2014, Gillian Ford attended the Dementia Action Alliance</w:t>
      </w:r>
      <w:r w:rsidRPr="00CE4614">
        <w:rPr>
          <w:rFonts w:ascii="Arial" w:hAnsi="Arial" w:cs="Arial"/>
          <w:bCs/>
        </w:rPr>
        <w:tab/>
      </w:r>
    </w:p>
    <w:p w14:paraId="659F669E" w14:textId="77777777" w:rsidR="00CE4614" w:rsidRPr="00CE4614" w:rsidRDefault="00CE4614" w:rsidP="00CE4614">
      <w:pPr>
        <w:ind w:left="567" w:hanging="567"/>
        <w:contextualSpacing/>
        <w:rPr>
          <w:rFonts w:ascii="Arial" w:hAnsi="Arial" w:cs="Arial"/>
          <w:bCs/>
        </w:rPr>
      </w:pPr>
    </w:p>
    <w:p w14:paraId="659F669F" w14:textId="77777777" w:rsidR="00CE4614" w:rsidRPr="00CE4614" w:rsidRDefault="00CE4614" w:rsidP="00746ABA">
      <w:pPr>
        <w:numPr>
          <w:ilvl w:val="0"/>
          <w:numId w:val="8"/>
        </w:numPr>
        <w:ind w:left="426" w:hanging="426"/>
        <w:contextualSpacing/>
        <w:rPr>
          <w:rFonts w:ascii="Arial" w:hAnsi="Arial" w:cs="Arial"/>
        </w:rPr>
      </w:pPr>
      <w:r w:rsidRPr="00CE4614">
        <w:rPr>
          <w:rFonts w:ascii="Arial" w:hAnsi="Arial" w:cs="Arial"/>
        </w:rPr>
        <w:t>16 and 17 September, Public Health England Annual Conference</w:t>
      </w:r>
      <w:r w:rsidRPr="00CE4614">
        <w:rPr>
          <w:rFonts w:ascii="Arial" w:hAnsi="Arial" w:cs="Arial"/>
        </w:rPr>
        <w:tab/>
      </w:r>
    </w:p>
    <w:p w14:paraId="659F66A0" w14:textId="77777777" w:rsidR="00CE4614" w:rsidRPr="00CE4614" w:rsidRDefault="00CE4614" w:rsidP="00CE4614">
      <w:pPr>
        <w:ind w:left="720"/>
        <w:contextualSpacing/>
        <w:rPr>
          <w:rFonts w:ascii="Arial" w:hAnsi="Arial" w:cs="Arial"/>
        </w:rPr>
      </w:pPr>
    </w:p>
    <w:p w14:paraId="659F66A1" w14:textId="77777777" w:rsidR="00CE4614" w:rsidRPr="00CE4614" w:rsidRDefault="00CE4614" w:rsidP="00746ABA">
      <w:pPr>
        <w:numPr>
          <w:ilvl w:val="0"/>
          <w:numId w:val="8"/>
        </w:numPr>
        <w:ind w:left="426" w:hanging="426"/>
        <w:contextualSpacing/>
        <w:rPr>
          <w:rFonts w:ascii="Arial" w:hAnsi="Arial" w:cs="Arial"/>
        </w:rPr>
      </w:pPr>
      <w:r w:rsidRPr="00CE4614">
        <w:rPr>
          <w:rFonts w:ascii="Arial" w:hAnsi="Arial" w:cs="Arial"/>
        </w:rPr>
        <w:t xml:space="preserve">17 September Cllr Seccombe met the CEX of NHS </w:t>
      </w:r>
      <w:proofErr w:type="spellStart"/>
      <w:r w:rsidRPr="00CE4614">
        <w:rPr>
          <w:rFonts w:ascii="Arial" w:hAnsi="Arial" w:cs="Arial"/>
        </w:rPr>
        <w:t>confed</w:t>
      </w:r>
      <w:proofErr w:type="spellEnd"/>
      <w:r w:rsidRPr="00CE4614">
        <w:rPr>
          <w:rFonts w:ascii="Arial" w:hAnsi="Arial" w:cs="Arial"/>
        </w:rPr>
        <w:tab/>
        <w:t>- Carolyn Downs and I met Rob Webster, Michael O’Higgins and Johnny Marshall of NHS Confederation to discuss our respective work priorities for health and adult social care. We discussed how we can ensure that the Health and Wellbeing System Improvement Programme focusses on the role and contribution of NHS. We also discussed how we could continue to work together on influencing the policy agenda in the future.</w:t>
      </w:r>
    </w:p>
    <w:p w14:paraId="659F66A2" w14:textId="77777777" w:rsidR="00CE4614" w:rsidRPr="00CE4614" w:rsidRDefault="00CE4614" w:rsidP="00CE4614">
      <w:pPr>
        <w:ind w:left="567" w:hanging="567"/>
        <w:contextualSpacing/>
        <w:rPr>
          <w:rFonts w:ascii="Arial" w:hAnsi="Arial" w:cs="Arial"/>
        </w:rPr>
      </w:pPr>
    </w:p>
    <w:p w14:paraId="195943DB" w14:textId="77777777" w:rsidR="0008190C" w:rsidRDefault="0008190C" w:rsidP="00CE4614">
      <w:pPr>
        <w:rPr>
          <w:rFonts w:ascii="Arial" w:hAnsi="Arial" w:cs="Arial"/>
          <w:b/>
        </w:rPr>
      </w:pPr>
      <w:r>
        <w:rPr>
          <w:rFonts w:ascii="Arial" w:hAnsi="Arial" w:cs="Arial"/>
          <w:b/>
        </w:rPr>
        <w:t>Public Health</w:t>
      </w:r>
    </w:p>
    <w:p w14:paraId="55F85667" w14:textId="0B89B930" w:rsidR="0008190C" w:rsidRDefault="0008190C" w:rsidP="0008190C">
      <w:pPr>
        <w:pStyle w:val="ListParagraph"/>
        <w:numPr>
          <w:ilvl w:val="0"/>
          <w:numId w:val="8"/>
        </w:numPr>
        <w:rPr>
          <w:rFonts w:ascii="Arial" w:hAnsi="Arial" w:cs="Arial"/>
          <w:color w:val="000000"/>
        </w:rPr>
      </w:pPr>
      <w:r w:rsidRPr="0008190C">
        <w:rPr>
          <w:rFonts w:ascii="Arial" w:hAnsi="Arial" w:cs="Arial"/>
          <w:color w:val="000000"/>
          <w:lang w:val="en"/>
        </w:rPr>
        <w:t xml:space="preserve">Earlier this month the LGA published </w:t>
      </w:r>
      <w:proofErr w:type="gramStart"/>
      <w:r w:rsidRPr="0008190C">
        <w:rPr>
          <w:rFonts w:ascii="Arial" w:hAnsi="Arial" w:cs="Arial"/>
          <w:b/>
          <w:bCs/>
          <w:i/>
          <w:iCs/>
          <w:color w:val="000000"/>
          <w:lang w:val="en"/>
        </w:rPr>
        <w:t>Making</w:t>
      </w:r>
      <w:proofErr w:type="gramEnd"/>
      <w:r w:rsidRPr="0008190C">
        <w:rPr>
          <w:rFonts w:ascii="Arial" w:hAnsi="Arial" w:cs="Arial"/>
          <w:b/>
          <w:bCs/>
          <w:i/>
          <w:iCs/>
          <w:color w:val="000000"/>
          <w:lang w:val="en"/>
        </w:rPr>
        <w:t xml:space="preserve"> every contact count – taking every opportunity to improve health and wellbeing</w:t>
      </w:r>
      <w:r w:rsidRPr="0008190C">
        <w:rPr>
          <w:rFonts w:ascii="Arial" w:hAnsi="Arial" w:cs="Arial"/>
          <w:color w:val="000000"/>
        </w:rPr>
        <w:t>. This resource commissioned by the LGA describes how public health in a number of councils has started to use the opportunities of a local government setting to improve health and wellbeing.</w:t>
      </w:r>
      <w:r w:rsidR="00C072CD">
        <w:rPr>
          <w:rFonts w:ascii="Arial" w:hAnsi="Arial" w:cs="Arial"/>
          <w:color w:val="000000"/>
        </w:rPr>
        <w:t xml:space="preserve"> </w:t>
      </w:r>
      <w:r w:rsidRPr="0008190C">
        <w:rPr>
          <w:rFonts w:ascii="Arial" w:hAnsi="Arial" w:cs="Arial"/>
          <w:color w:val="000000"/>
        </w:rPr>
        <w:t>The case studies include councils spread across England, covering both rural and urban environments and with varying levels of deprivation and affluence.</w:t>
      </w:r>
    </w:p>
    <w:p w14:paraId="0A546D6C" w14:textId="77777777" w:rsidR="0008190C" w:rsidRPr="0008190C" w:rsidRDefault="0008190C" w:rsidP="0008190C">
      <w:pPr>
        <w:pStyle w:val="ListParagraph"/>
        <w:ind w:left="360"/>
        <w:rPr>
          <w:rFonts w:ascii="Arial" w:hAnsi="Arial" w:cs="Arial"/>
          <w:color w:val="000000"/>
        </w:rPr>
      </w:pPr>
    </w:p>
    <w:p w14:paraId="2AB2295F" w14:textId="3A876C0B" w:rsidR="0008190C" w:rsidRPr="00C072CD" w:rsidRDefault="0008190C" w:rsidP="0008190C">
      <w:pPr>
        <w:pStyle w:val="ListParagraph"/>
        <w:numPr>
          <w:ilvl w:val="0"/>
          <w:numId w:val="8"/>
        </w:numPr>
        <w:rPr>
          <w:rFonts w:ascii="Arial" w:hAnsi="Arial" w:cs="Arial"/>
          <w:color w:val="000000"/>
        </w:rPr>
      </w:pPr>
      <w:r w:rsidRPr="00C072CD">
        <w:rPr>
          <w:rFonts w:ascii="Arial" w:hAnsi="Arial" w:cs="Arial"/>
          <w:color w:val="000000"/>
        </w:rPr>
        <w:t xml:space="preserve">Last month the LGA launched </w:t>
      </w:r>
      <w:r w:rsidRPr="00C072CD">
        <w:rPr>
          <w:rFonts w:ascii="Arial" w:hAnsi="Arial" w:cs="Arial"/>
          <w:b/>
          <w:bCs/>
          <w:i/>
          <w:iCs/>
          <w:color w:val="000000"/>
        </w:rPr>
        <w:t>Healthy Homes, Healthy Lives</w:t>
      </w:r>
      <w:r w:rsidRPr="00C072CD">
        <w:rPr>
          <w:rFonts w:ascii="Arial" w:hAnsi="Arial" w:cs="Arial"/>
          <w:color w:val="000000"/>
        </w:rPr>
        <w:t>. Councils all over the country understand how the quality of housing affects the health and wellbeing of their residents. This resource commissioned by the LGA describes how public health in a number of councils has started to use the opportunities of a local government setting to improve health and wellbeing.</w:t>
      </w:r>
    </w:p>
    <w:p w14:paraId="07AABB23" w14:textId="77777777" w:rsidR="0008190C" w:rsidRPr="0008190C" w:rsidRDefault="0008190C" w:rsidP="0008190C">
      <w:pPr>
        <w:pStyle w:val="ListParagraph"/>
        <w:rPr>
          <w:rFonts w:ascii="Arial" w:hAnsi="Arial" w:cs="Arial"/>
          <w:color w:val="000000"/>
        </w:rPr>
      </w:pPr>
    </w:p>
    <w:p w14:paraId="0FE9EE04" w14:textId="77777777" w:rsidR="0008190C" w:rsidRDefault="0008190C" w:rsidP="0008190C">
      <w:pPr>
        <w:pStyle w:val="ListParagraph"/>
        <w:numPr>
          <w:ilvl w:val="0"/>
          <w:numId w:val="8"/>
        </w:numPr>
        <w:rPr>
          <w:rFonts w:ascii="Arial" w:hAnsi="Arial" w:cs="Arial"/>
          <w:color w:val="000000"/>
        </w:rPr>
      </w:pPr>
      <w:r w:rsidRPr="0008190C">
        <w:rPr>
          <w:rFonts w:ascii="Arial" w:hAnsi="Arial" w:cs="Arial"/>
          <w:color w:val="000000"/>
        </w:rPr>
        <w:t xml:space="preserve">In partnership with the Kings Fund, the LGA have produced </w:t>
      </w:r>
      <w:proofErr w:type="gramStart"/>
      <w:r w:rsidRPr="0008190C">
        <w:rPr>
          <w:rFonts w:ascii="Arial" w:hAnsi="Arial" w:cs="Arial"/>
          <w:b/>
          <w:bCs/>
          <w:i/>
          <w:iCs/>
          <w:color w:val="000000"/>
        </w:rPr>
        <w:t>Making</w:t>
      </w:r>
      <w:proofErr w:type="gramEnd"/>
      <w:r w:rsidRPr="0008190C">
        <w:rPr>
          <w:rFonts w:ascii="Arial" w:hAnsi="Arial" w:cs="Arial"/>
          <w:b/>
          <w:bCs/>
          <w:i/>
          <w:iCs/>
          <w:color w:val="000000"/>
        </w:rPr>
        <w:t xml:space="preserve"> the Case for Public Health</w:t>
      </w:r>
      <w:r w:rsidRPr="0008190C">
        <w:rPr>
          <w:rFonts w:ascii="Arial" w:hAnsi="Arial" w:cs="Arial"/>
          <w:color w:val="000000"/>
        </w:rPr>
        <w:t xml:space="preserve"> a set of infographics that describe key facts about the public health system and the return on investment for some public health interventions.</w:t>
      </w:r>
    </w:p>
    <w:p w14:paraId="0ACE72F1" w14:textId="77777777" w:rsidR="0008190C" w:rsidRPr="0008190C" w:rsidRDefault="0008190C" w:rsidP="0008190C">
      <w:pPr>
        <w:pStyle w:val="ListParagraph"/>
        <w:rPr>
          <w:rFonts w:ascii="Arial" w:hAnsi="Arial" w:cs="Arial"/>
          <w:color w:val="000000"/>
        </w:rPr>
      </w:pPr>
    </w:p>
    <w:p w14:paraId="304CB800" w14:textId="1AC7B979" w:rsidR="0008190C" w:rsidRPr="0008190C" w:rsidRDefault="0008190C" w:rsidP="0008190C">
      <w:pPr>
        <w:pStyle w:val="ListParagraph"/>
        <w:numPr>
          <w:ilvl w:val="0"/>
          <w:numId w:val="8"/>
        </w:numPr>
        <w:rPr>
          <w:rFonts w:ascii="Arial" w:hAnsi="Arial" w:cs="Arial"/>
          <w:color w:val="000000"/>
        </w:rPr>
      </w:pPr>
      <w:r w:rsidRPr="0008190C">
        <w:rPr>
          <w:rFonts w:ascii="Arial" w:hAnsi="Arial" w:cs="Arial"/>
          <w:color w:val="000000"/>
        </w:rPr>
        <w:lastRenderedPageBreak/>
        <w:t xml:space="preserve">Last month we responded to the announcement of the </w:t>
      </w:r>
      <w:r w:rsidRPr="0008190C">
        <w:rPr>
          <w:rFonts w:ascii="Arial" w:hAnsi="Arial" w:cs="Arial"/>
          <w:b/>
          <w:bCs/>
          <w:color w:val="000000"/>
        </w:rPr>
        <w:t>Public Health Funding Settlement 2015/16</w:t>
      </w:r>
      <w:r w:rsidRPr="0008190C">
        <w:rPr>
          <w:rFonts w:ascii="Arial" w:hAnsi="Arial" w:cs="Arial"/>
          <w:color w:val="000000"/>
        </w:rPr>
        <w:t>. We are disappointed with the Department of Health’s decision not to protect real terms funding for 2015/16 by making it inflation proof. We have consistently maintained that local government can only fulfil the new duties if it is sufficiently resourced to do so.</w:t>
      </w:r>
    </w:p>
    <w:p w14:paraId="659F66A3" w14:textId="108CF2AA" w:rsidR="00CE4614" w:rsidRPr="00CE4614" w:rsidRDefault="00CE4614" w:rsidP="00CE4614">
      <w:pPr>
        <w:rPr>
          <w:rFonts w:ascii="Arial" w:hAnsi="Arial" w:cs="Arial"/>
          <w:highlight w:val="yellow"/>
          <w:lang w:eastAsia="en-GB"/>
        </w:rPr>
      </w:pPr>
      <w:r w:rsidRPr="00CE4614">
        <w:rPr>
          <w:rFonts w:ascii="Arial" w:hAnsi="Arial" w:cs="Arial"/>
          <w:b/>
        </w:rPr>
        <w:t xml:space="preserve">Children’s </w:t>
      </w:r>
      <w:proofErr w:type="gramStart"/>
      <w:r w:rsidRPr="00CE4614">
        <w:rPr>
          <w:rFonts w:ascii="Arial" w:hAnsi="Arial" w:cs="Arial"/>
          <w:b/>
        </w:rPr>
        <w:t>Mental</w:t>
      </w:r>
      <w:proofErr w:type="gramEnd"/>
      <w:r w:rsidRPr="00CE4614">
        <w:rPr>
          <w:rFonts w:ascii="Arial" w:hAnsi="Arial" w:cs="Arial"/>
          <w:b/>
        </w:rPr>
        <w:t xml:space="preserve"> health</w:t>
      </w:r>
    </w:p>
    <w:p w14:paraId="659F66A4" w14:textId="2DFA5593" w:rsidR="00CE4614" w:rsidRPr="00CE4614" w:rsidRDefault="00CE4614" w:rsidP="0008190C">
      <w:pPr>
        <w:numPr>
          <w:ilvl w:val="0"/>
          <w:numId w:val="9"/>
        </w:numPr>
        <w:autoSpaceDE w:val="0"/>
        <w:autoSpaceDN w:val="0"/>
        <w:adjustRightInd w:val="0"/>
        <w:spacing w:after="0"/>
        <w:contextualSpacing/>
        <w:rPr>
          <w:rFonts w:ascii="Arial" w:hAnsi="Arial" w:cs="Arial"/>
        </w:rPr>
      </w:pPr>
      <w:r w:rsidRPr="00CE4614">
        <w:rPr>
          <w:rFonts w:ascii="Arial" w:hAnsi="Arial" w:cs="Arial"/>
        </w:rPr>
        <w:t xml:space="preserve">The government has committed to setting up a Children’s and Young People’s Mental </w:t>
      </w:r>
      <w:r w:rsidR="00C072CD">
        <w:rPr>
          <w:rFonts w:ascii="Arial" w:hAnsi="Arial" w:cs="Arial"/>
        </w:rPr>
        <w:t xml:space="preserve">Health and Well-Being Taskforce.  </w:t>
      </w:r>
      <w:r w:rsidRPr="00CE4614">
        <w:rPr>
          <w:rFonts w:ascii="Arial" w:hAnsi="Arial" w:cs="Arial"/>
        </w:rPr>
        <w:t xml:space="preserve"> The LGA has been asked to sit on the Taskforce and membership is being sought from Members of the Community Wellbeing Board.</w:t>
      </w:r>
    </w:p>
    <w:p w14:paraId="34EBEEF9" w14:textId="77777777" w:rsidR="00C072CD" w:rsidRDefault="00C072CD" w:rsidP="00CE4614">
      <w:pPr>
        <w:spacing w:after="0"/>
        <w:rPr>
          <w:rFonts w:ascii="Arial" w:hAnsi="Arial" w:cs="Arial"/>
          <w:b/>
          <w:szCs w:val="21"/>
        </w:rPr>
      </w:pPr>
    </w:p>
    <w:p w14:paraId="659F66AA" w14:textId="1344766E" w:rsidR="00CE4614" w:rsidRPr="00CE4614" w:rsidRDefault="00CE4614" w:rsidP="00CE4614">
      <w:pPr>
        <w:spacing w:after="0"/>
        <w:rPr>
          <w:rFonts w:ascii="Arial" w:hAnsi="Arial" w:cs="Arial"/>
          <w:b/>
          <w:szCs w:val="21"/>
        </w:rPr>
      </w:pPr>
      <w:r w:rsidRPr="00CE4614">
        <w:rPr>
          <w:rFonts w:ascii="Arial" w:hAnsi="Arial" w:cs="Arial"/>
          <w:b/>
          <w:szCs w:val="21"/>
        </w:rPr>
        <w:t xml:space="preserve">Transfer of 0-5s public health commissioning responsibilities to local government </w:t>
      </w:r>
    </w:p>
    <w:p w14:paraId="659F66AB" w14:textId="77777777" w:rsidR="00CE4614" w:rsidRPr="00CE4614" w:rsidRDefault="00CE4614" w:rsidP="00CE4614">
      <w:pPr>
        <w:autoSpaceDE w:val="0"/>
        <w:autoSpaceDN w:val="0"/>
        <w:adjustRightInd w:val="0"/>
        <w:spacing w:after="0"/>
        <w:rPr>
          <w:rFonts w:ascii="Arial" w:hAnsi="Arial" w:cs="Arial"/>
        </w:rPr>
      </w:pPr>
    </w:p>
    <w:p w14:paraId="659F66AC" w14:textId="77777777" w:rsidR="00CE4614" w:rsidRPr="00CE4614" w:rsidRDefault="00CE4614" w:rsidP="00CE4614">
      <w:pPr>
        <w:numPr>
          <w:ilvl w:val="0"/>
          <w:numId w:val="9"/>
        </w:numPr>
        <w:autoSpaceDE w:val="0"/>
        <w:autoSpaceDN w:val="0"/>
        <w:adjustRightInd w:val="0"/>
        <w:spacing w:after="0"/>
        <w:contextualSpacing/>
        <w:rPr>
          <w:rFonts w:ascii="Arial" w:hAnsi="Arial" w:cs="Arial"/>
        </w:rPr>
      </w:pPr>
      <w:r w:rsidRPr="00CE4614">
        <w:rPr>
          <w:rFonts w:ascii="Arial" w:hAnsi="Arial" w:cs="Arial"/>
        </w:rPr>
        <w:t xml:space="preserve">The Government has announced that certain universal elements of the Healthy Child Programme will be mandated in regulations in the same way it has for sexual health and some other public health services. These checks include: Antenatal health promotion review; New baby review, which is the first check after the birth; 6-8 week assessment; 1 year assessment; and 2 to 2 and a half year review. The mandate will be time limited for 18 months with a review after 12 months. </w:t>
      </w:r>
    </w:p>
    <w:p w14:paraId="659F66AD" w14:textId="77777777" w:rsidR="00CE4614" w:rsidRPr="00CE4614" w:rsidRDefault="00CE4614" w:rsidP="00CE4614">
      <w:pPr>
        <w:autoSpaceDE w:val="0"/>
        <w:autoSpaceDN w:val="0"/>
        <w:adjustRightInd w:val="0"/>
        <w:spacing w:after="0"/>
        <w:rPr>
          <w:rFonts w:ascii="Arial" w:hAnsi="Arial" w:cs="Arial"/>
        </w:rPr>
      </w:pPr>
    </w:p>
    <w:p w14:paraId="659F66B6" w14:textId="489346CA" w:rsidR="00CE4614" w:rsidRPr="00CE4614" w:rsidRDefault="00CE4614" w:rsidP="00CE4614">
      <w:pPr>
        <w:numPr>
          <w:ilvl w:val="0"/>
          <w:numId w:val="9"/>
        </w:numPr>
        <w:autoSpaceDE w:val="0"/>
        <w:autoSpaceDN w:val="0"/>
        <w:adjustRightInd w:val="0"/>
        <w:spacing w:after="0"/>
        <w:contextualSpacing/>
        <w:rPr>
          <w:rFonts w:ascii="Arial" w:hAnsi="Arial" w:cs="Arial"/>
        </w:rPr>
      </w:pPr>
      <w:r w:rsidRPr="00CE4614">
        <w:rPr>
          <w:rFonts w:ascii="Arial" w:hAnsi="Arial" w:cs="Arial"/>
        </w:rPr>
        <w:t>NHS England is analysing the second finance and contracting information request which was completed in September by Area Teams and local authorities (LAs). The information in the returns are being used to inform provisional local authority baseline allocations which the Department of Health will publish in late October for consultation, with the final settlement published alongside the local government finance settlement in December 2014.</w:t>
      </w:r>
    </w:p>
    <w:p w14:paraId="659F66B7" w14:textId="77777777" w:rsidR="00CE4614" w:rsidRPr="00CE4614" w:rsidRDefault="00CE4614" w:rsidP="00CE4614">
      <w:pPr>
        <w:autoSpaceDE w:val="0"/>
        <w:autoSpaceDN w:val="0"/>
        <w:adjustRightInd w:val="0"/>
        <w:spacing w:after="0"/>
        <w:rPr>
          <w:rFonts w:ascii="Arial" w:hAnsi="Arial" w:cs="Arial"/>
          <w:b/>
        </w:rPr>
      </w:pPr>
    </w:p>
    <w:p w14:paraId="659F66B8" w14:textId="77777777" w:rsidR="00CE4614" w:rsidRDefault="00CE4614" w:rsidP="00CE4614">
      <w:pPr>
        <w:numPr>
          <w:ilvl w:val="0"/>
          <w:numId w:val="9"/>
        </w:numPr>
        <w:autoSpaceDE w:val="0"/>
        <w:autoSpaceDN w:val="0"/>
        <w:adjustRightInd w:val="0"/>
        <w:spacing w:after="0"/>
        <w:contextualSpacing/>
        <w:rPr>
          <w:rFonts w:ascii="Arial" w:hAnsi="Arial" w:cs="Arial"/>
        </w:rPr>
      </w:pPr>
      <w:r w:rsidRPr="00CE4614">
        <w:rPr>
          <w:rFonts w:ascii="Arial" w:hAnsi="Arial" w:cs="Arial"/>
        </w:rPr>
        <w:t xml:space="preserve">The LGA is working in partnership with PHE, NHS England and the DH to deliver regional events to support local areas with the transition. Seven out of nine events have been delivered to date. Cllr Katie Hall, Cllr Gillian Ford, Cllr </w:t>
      </w:r>
      <w:proofErr w:type="spellStart"/>
      <w:r w:rsidRPr="00CE4614">
        <w:rPr>
          <w:rFonts w:ascii="Arial" w:hAnsi="Arial" w:cs="Arial"/>
        </w:rPr>
        <w:t>Izzi</w:t>
      </w:r>
      <w:proofErr w:type="spellEnd"/>
      <w:r w:rsidRPr="00CE4614">
        <w:rPr>
          <w:rFonts w:ascii="Arial" w:hAnsi="Arial" w:cs="Arial"/>
        </w:rPr>
        <w:t xml:space="preserve"> </w:t>
      </w:r>
      <w:proofErr w:type="spellStart"/>
      <w:r w:rsidRPr="00CE4614">
        <w:rPr>
          <w:rFonts w:ascii="Arial" w:hAnsi="Arial" w:cs="Arial"/>
        </w:rPr>
        <w:t>Seccombe</w:t>
      </w:r>
      <w:proofErr w:type="spellEnd"/>
      <w:r w:rsidRPr="00CE4614">
        <w:rPr>
          <w:rFonts w:ascii="Arial" w:hAnsi="Arial" w:cs="Arial"/>
        </w:rPr>
        <w:t xml:space="preserve"> and Cllr Lynne Travis have all chaired one or more regional events. </w:t>
      </w:r>
    </w:p>
    <w:p w14:paraId="7848B7C9" w14:textId="77777777" w:rsidR="00C072CD" w:rsidRDefault="00C072CD" w:rsidP="0008190C">
      <w:pPr>
        <w:rPr>
          <w:rFonts w:ascii="Arial" w:hAnsi="Arial" w:cs="Arial"/>
          <w:b/>
        </w:rPr>
      </w:pPr>
    </w:p>
    <w:p w14:paraId="600940DD" w14:textId="77777777" w:rsidR="0008190C" w:rsidRDefault="0008190C" w:rsidP="0008190C">
      <w:pPr>
        <w:rPr>
          <w:rFonts w:ascii="Arial" w:hAnsi="Arial" w:cs="Arial"/>
          <w:b/>
        </w:rPr>
      </w:pPr>
      <w:proofErr w:type="gramStart"/>
      <w:r>
        <w:rPr>
          <w:rFonts w:ascii="Arial" w:hAnsi="Arial" w:cs="Arial"/>
          <w:b/>
        </w:rPr>
        <w:t>Dementia.</w:t>
      </w:r>
      <w:proofErr w:type="gramEnd"/>
    </w:p>
    <w:p w14:paraId="659F66B9" w14:textId="78FFB146" w:rsidR="00CE4614" w:rsidRPr="00C072CD" w:rsidRDefault="0008190C" w:rsidP="00CE4614">
      <w:pPr>
        <w:pStyle w:val="ListParagraph"/>
        <w:numPr>
          <w:ilvl w:val="0"/>
          <w:numId w:val="9"/>
        </w:numPr>
        <w:autoSpaceDE w:val="0"/>
        <w:autoSpaceDN w:val="0"/>
        <w:adjustRightInd w:val="0"/>
        <w:spacing w:after="0" w:line="240" w:lineRule="auto"/>
        <w:rPr>
          <w:rFonts w:ascii="Arial" w:hAnsi="Arial" w:cs="Arial"/>
          <w:b/>
        </w:rPr>
      </w:pPr>
      <w:r w:rsidRPr="00C072CD">
        <w:rPr>
          <w:rFonts w:ascii="Arial" w:hAnsi="Arial" w:cs="Arial"/>
        </w:rPr>
        <w:t>The LGA has been involved in various forums and groups to take forward work on improving services and supports for people with Dementia. This has included involvement with the Alzheimer’s Society’s and B</w:t>
      </w:r>
      <w:proofErr w:type="spellStart"/>
      <w:r w:rsidRPr="00C072CD">
        <w:rPr>
          <w:rFonts w:ascii="Arial" w:hAnsi="Arial" w:cs="Arial"/>
          <w:lang w:val="en"/>
        </w:rPr>
        <w:t>ritish</w:t>
      </w:r>
      <w:proofErr w:type="spellEnd"/>
      <w:r w:rsidRPr="00C072CD">
        <w:rPr>
          <w:rFonts w:ascii="Arial" w:hAnsi="Arial" w:cs="Arial"/>
          <w:lang w:val="en"/>
        </w:rPr>
        <w:t xml:space="preserve"> Standards Institution (BSI) code of practice for communities working towards becoming dementia-friendly</w:t>
      </w:r>
      <w:r w:rsidRPr="00C072CD">
        <w:rPr>
          <w:rFonts w:ascii="Arial" w:hAnsi="Arial" w:cs="Arial"/>
        </w:rPr>
        <w:t xml:space="preserve"> and working with  Public Health England’s to develop a Promoting Dementia Equality tool kit for commissioners. On October 6, the LGA hosted the Dementia Action Alliances Carers Call to Action Conference</w:t>
      </w:r>
      <w:r w:rsidR="00C072CD">
        <w:rPr>
          <w:rFonts w:ascii="Arial" w:hAnsi="Arial" w:cs="Arial"/>
        </w:rPr>
        <w:t>.</w:t>
      </w:r>
    </w:p>
    <w:p w14:paraId="217DFA7F" w14:textId="77777777" w:rsidR="00C072CD" w:rsidRPr="00C072CD" w:rsidRDefault="00C072CD" w:rsidP="00C072CD">
      <w:pPr>
        <w:pStyle w:val="ListParagraph"/>
        <w:autoSpaceDE w:val="0"/>
        <w:autoSpaceDN w:val="0"/>
        <w:adjustRightInd w:val="0"/>
        <w:spacing w:after="0" w:line="240" w:lineRule="auto"/>
        <w:ind w:left="360"/>
        <w:rPr>
          <w:rFonts w:ascii="Arial" w:hAnsi="Arial" w:cs="Arial"/>
          <w:b/>
        </w:rPr>
      </w:pPr>
    </w:p>
    <w:p w14:paraId="659F66BC" w14:textId="77777777" w:rsidR="00CE4614" w:rsidRPr="00CE4614" w:rsidRDefault="00CE4614" w:rsidP="00CE4614">
      <w:pPr>
        <w:rPr>
          <w:rFonts w:ascii="Arial" w:hAnsi="Arial" w:cs="Arial"/>
          <w:bCs/>
          <w:color w:val="000000"/>
        </w:rPr>
      </w:pPr>
      <w:r w:rsidRPr="00CE4614">
        <w:rPr>
          <w:rFonts w:ascii="Arial" w:hAnsi="Arial" w:cs="Arial"/>
          <w:b/>
          <w:bCs/>
          <w:color w:val="000000"/>
        </w:rPr>
        <w:lastRenderedPageBreak/>
        <w:t xml:space="preserve">Integration Personal Commissioning (IPC) Programme </w:t>
      </w:r>
    </w:p>
    <w:p w14:paraId="659F66C5" w14:textId="31AC2D99" w:rsidR="00CE4614" w:rsidRDefault="00CE4614" w:rsidP="00CE4614">
      <w:pPr>
        <w:numPr>
          <w:ilvl w:val="0"/>
          <w:numId w:val="9"/>
        </w:numPr>
        <w:contextualSpacing/>
        <w:rPr>
          <w:rFonts w:ascii="Arial" w:hAnsi="Arial" w:cs="Arial"/>
          <w:bCs/>
          <w:color w:val="000000"/>
        </w:rPr>
      </w:pPr>
      <w:r w:rsidRPr="00C072CD">
        <w:rPr>
          <w:rFonts w:ascii="Arial" w:hAnsi="Arial" w:cs="Arial"/>
          <w:bCs/>
          <w:color w:val="000000"/>
        </w:rPr>
        <w:t>The IPC Programme will be based on two core elements: the care model and the financial model. The care model will focus on person centred care and joint care planning, with an optional personal health and social care budget. The financial model is still in development but is likely to be based on the “Year of Care” capitated payment model, which is allocated on a per person basis for a range of servic</w:t>
      </w:r>
      <w:r w:rsidR="00C072CD">
        <w:rPr>
          <w:rFonts w:ascii="Arial" w:hAnsi="Arial" w:cs="Arial"/>
          <w:bCs/>
          <w:color w:val="000000"/>
        </w:rPr>
        <w:t>es for a fixed period of time.</w:t>
      </w:r>
    </w:p>
    <w:p w14:paraId="355E2358" w14:textId="77777777" w:rsidR="00C072CD" w:rsidRPr="00C072CD" w:rsidRDefault="00C072CD" w:rsidP="00C072CD">
      <w:pPr>
        <w:ind w:left="360"/>
        <w:contextualSpacing/>
        <w:rPr>
          <w:rFonts w:ascii="Arial" w:hAnsi="Arial" w:cs="Arial"/>
          <w:bCs/>
          <w:color w:val="000000"/>
        </w:rPr>
      </w:pPr>
    </w:p>
    <w:p w14:paraId="659F66C6" w14:textId="5513486B" w:rsidR="00CE4614" w:rsidRPr="00CE4614" w:rsidRDefault="00CE4614" w:rsidP="00CE4614">
      <w:pPr>
        <w:numPr>
          <w:ilvl w:val="0"/>
          <w:numId w:val="9"/>
        </w:numPr>
        <w:contextualSpacing/>
        <w:rPr>
          <w:rFonts w:ascii="Arial" w:hAnsi="Arial" w:cs="Arial"/>
          <w:bCs/>
          <w:color w:val="000000"/>
        </w:rPr>
      </w:pPr>
      <w:r w:rsidRPr="00CE4614">
        <w:rPr>
          <w:rFonts w:ascii="Arial" w:hAnsi="Arial" w:cs="Arial"/>
          <w:bCs/>
          <w:color w:val="000000"/>
        </w:rPr>
        <w:t>The selection process</w:t>
      </w:r>
      <w:r w:rsidR="00C072CD">
        <w:rPr>
          <w:rFonts w:ascii="Arial" w:hAnsi="Arial" w:cs="Arial"/>
          <w:bCs/>
          <w:color w:val="000000"/>
        </w:rPr>
        <w:t xml:space="preserve"> for demonstrator sites </w:t>
      </w:r>
      <w:r w:rsidRPr="00CE4614">
        <w:rPr>
          <w:rFonts w:ascii="Arial" w:hAnsi="Arial" w:cs="Arial"/>
          <w:bCs/>
          <w:color w:val="000000"/>
        </w:rPr>
        <w:t>is currently underway and we expect the successful applicants to be announced in early December.  We are also keen for other areas to learn from the experience of the demonstrator sites and will be working with NHS England, ADASS and TLAP to disseminate information on progress.</w:t>
      </w:r>
    </w:p>
    <w:p w14:paraId="659F66C7" w14:textId="77777777" w:rsidR="00CE4614" w:rsidRDefault="00CE4614" w:rsidP="00CE4614">
      <w:pPr>
        <w:rPr>
          <w:rFonts w:ascii="Arial" w:hAnsi="Arial" w:cs="Arial"/>
          <w:b/>
          <w:bCs/>
        </w:rPr>
      </w:pPr>
    </w:p>
    <w:p w14:paraId="659F66C8" w14:textId="77777777" w:rsidR="00CE4614" w:rsidRPr="00CE4614" w:rsidRDefault="00CE4614" w:rsidP="00CE4614">
      <w:pPr>
        <w:rPr>
          <w:rFonts w:ascii="Arial" w:hAnsi="Arial" w:cs="Arial"/>
          <w:bCs/>
        </w:rPr>
      </w:pPr>
      <w:r w:rsidRPr="00CE4614">
        <w:rPr>
          <w:rFonts w:ascii="Arial" w:hAnsi="Arial" w:cs="Arial"/>
          <w:b/>
          <w:bCs/>
        </w:rPr>
        <w:t>Addressing the financial impact of the Supreme Court Decision re Deprivation of Liberty Safeguards</w:t>
      </w:r>
    </w:p>
    <w:p w14:paraId="659F66C9" w14:textId="77777777" w:rsidR="00CE4614" w:rsidRPr="00CE4614" w:rsidRDefault="00CE4614" w:rsidP="00CE4614">
      <w:pPr>
        <w:numPr>
          <w:ilvl w:val="0"/>
          <w:numId w:val="9"/>
        </w:numPr>
        <w:contextualSpacing/>
        <w:rPr>
          <w:rFonts w:ascii="Arial" w:hAnsi="Arial" w:cs="Arial"/>
          <w:b/>
          <w:bCs/>
        </w:rPr>
      </w:pPr>
      <w:r w:rsidRPr="00CE4614">
        <w:rPr>
          <w:rFonts w:ascii="Arial" w:hAnsi="Arial" w:cs="Arial"/>
        </w:rPr>
        <w:t xml:space="preserve">Data released by the </w:t>
      </w:r>
      <w:hyperlink r:id="rId8" w:history="1">
        <w:r w:rsidRPr="00CE4614">
          <w:rPr>
            <w:rFonts w:ascii="Arial" w:hAnsi="Arial" w:cs="Arial"/>
            <w:color w:val="0000FF"/>
            <w:u w:val="single"/>
          </w:rPr>
          <w:t>Health and Social Care Information Centre</w:t>
        </w:r>
      </w:hyperlink>
      <w:r w:rsidRPr="00CE4614">
        <w:rPr>
          <w:rFonts w:ascii="Arial" w:hAnsi="Arial" w:cs="Arial"/>
        </w:rPr>
        <w:t xml:space="preserve"> indicates that Councils are assessing significantly more people under the Deprivation of Liberty Safeguards (</w:t>
      </w:r>
      <w:proofErr w:type="spellStart"/>
      <w:r w:rsidRPr="00CE4614">
        <w:rPr>
          <w:rFonts w:ascii="Arial" w:hAnsi="Arial" w:cs="Arial"/>
        </w:rPr>
        <w:t>DoLs</w:t>
      </w:r>
      <w:proofErr w:type="spellEnd"/>
      <w:r w:rsidRPr="00CE4614">
        <w:rPr>
          <w:rFonts w:ascii="Arial" w:hAnsi="Arial" w:cs="Arial"/>
        </w:rPr>
        <w:t xml:space="preserve">) following a Supreme Court Judgment in March. The LGA and ADASS are </w:t>
      </w:r>
      <w:hyperlink r:id="rId9" w:history="1">
        <w:r w:rsidRPr="00CE4614">
          <w:rPr>
            <w:rFonts w:ascii="Arial" w:hAnsi="Arial" w:cs="Arial"/>
            <w:color w:val="0000FF"/>
            <w:u w:val="single"/>
          </w:rPr>
          <w:t>working together</w:t>
        </w:r>
      </w:hyperlink>
      <w:r w:rsidRPr="00CE4614">
        <w:rPr>
          <w:rFonts w:ascii="Arial" w:hAnsi="Arial" w:cs="Arial"/>
        </w:rPr>
        <w:t xml:space="preserve"> to request that the government respond as a matter of urgency to cover escalating costs,  warning failure to do so could have  a detrimental impact on the vulnerable and increase pressure on already overstretches budgets and workforce. </w:t>
      </w:r>
    </w:p>
    <w:p w14:paraId="5A3B931B" w14:textId="77777777" w:rsidR="00C072CD" w:rsidRDefault="00C072CD" w:rsidP="00CE4614">
      <w:pPr>
        <w:rPr>
          <w:rFonts w:ascii="Arial" w:hAnsi="Arial" w:cs="Arial"/>
          <w:b/>
          <w:sz w:val="24"/>
          <w:szCs w:val="24"/>
        </w:rPr>
      </w:pPr>
    </w:p>
    <w:p w14:paraId="659F66CB" w14:textId="77777777" w:rsidR="00CE4614" w:rsidRPr="00CE4614" w:rsidRDefault="00CE4614" w:rsidP="00CE4614">
      <w:pPr>
        <w:rPr>
          <w:rFonts w:ascii="Arial" w:hAnsi="Arial" w:cs="Arial"/>
          <w:b/>
          <w:sz w:val="24"/>
          <w:szCs w:val="24"/>
        </w:rPr>
      </w:pPr>
      <w:r w:rsidRPr="00CE4614">
        <w:rPr>
          <w:rFonts w:ascii="Arial" w:hAnsi="Arial" w:cs="Arial"/>
          <w:b/>
          <w:sz w:val="24"/>
          <w:szCs w:val="24"/>
        </w:rPr>
        <w:t>Dates of future events and conferences</w:t>
      </w:r>
    </w:p>
    <w:p w14:paraId="659F66CC" w14:textId="77777777" w:rsidR="00CE4614" w:rsidRPr="00CE4614" w:rsidRDefault="00CE4614" w:rsidP="00CE4614">
      <w:pPr>
        <w:rPr>
          <w:rFonts w:ascii="Arial" w:hAnsi="Arial" w:cs="Arial"/>
          <w:color w:val="000000"/>
        </w:rPr>
      </w:pPr>
      <w:r w:rsidRPr="00CE4614">
        <w:rPr>
          <w:rFonts w:ascii="Arial" w:hAnsi="Arial" w:cs="Arial"/>
          <w:b/>
          <w:color w:val="000000"/>
        </w:rPr>
        <w:t>Redesigning the Health and Care landscape</w:t>
      </w:r>
      <w:r w:rsidRPr="00CE4614">
        <w:rPr>
          <w:rFonts w:ascii="Arial" w:hAnsi="Arial" w:cs="Arial"/>
          <w:color w:val="000000"/>
        </w:rPr>
        <w:t xml:space="preserve"> (London) - 22 October 2014</w:t>
      </w:r>
    </w:p>
    <w:p w14:paraId="659F66CD" w14:textId="51D4B897" w:rsidR="00CE4614" w:rsidRDefault="00CE4614" w:rsidP="00CE4614">
      <w:pPr>
        <w:numPr>
          <w:ilvl w:val="0"/>
          <w:numId w:val="9"/>
        </w:numPr>
        <w:contextualSpacing/>
        <w:rPr>
          <w:rFonts w:ascii="Arial" w:hAnsi="Arial" w:cs="Arial"/>
          <w:color w:val="000000"/>
          <w:lang w:val="en"/>
        </w:rPr>
      </w:pPr>
      <w:r w:rsidRPr="00CE4614">
        <w:rPr>
          <w:rFonts w:ascii="Arial" w:hAnsi="Arial" w:cs="Arial"/>
          <w:color w:val="000000"/>
        </w:rPr>
        <w:t xml:space="preserve">This national conference, organised jointly by the LGA and the NHS Confederation, will </w:t>
      </w:r>
      <w:r w:rsidRPr="00CE4614">
        <w:rPr>
          <w:rFonts w:ascii="Arial" w:hAnsi="Arial" w:cs="Arial"/>
          <w:color w:val="000000"/>
          <w:lang w:val="en"/>
        </w:rPr>
        <w:t>explore how Health and Wellbeing Boards, Councils, Clinical Commissioning Groups and health and social care providers can work together effectively, alongside their communities, to rede</w:t>
      </w:r>
      <w:bookmarkStart w:id="0" w:name="_GoBack"/>
      <w:bookmarkEnd w:id="0"/>
      <w:r w:rsidRPr="00CE4614">
        <w:rPr>
          <w:rFonts w:ascii="Arial" w:hAnsi="Arial" w:cs="Arial"/>
          <w:color w:val="000000"/>
          <w:lang w:val="en"/>
        </w:rPr>
        <w:t>sign health, care and support services so th</w:t>
      </w:r>
      <w:r w:rsidR="0008190C">
        <w:rPr>
          <w:rFonts w:ascii="Arial" w:hAnsi="Arial" w:cs="Arial"/>
          <w:color w:val="000000"/>
          <w:lang w:val="en"/>
        </w:rPr>
        <w:t>at they are fit for the future.</w:t>
      </w:r>
    </w:p>
    <w:p w14:paraId="68BA5A2F" w14:textId="77777777" w:rsidR="0008190C" w:rsidRPr="00CE4614" w:rsidRDefault="0008190C" w:rsidP="0008190C">
      <w:pPr>
        <w:ind w:left="360"/>
        <w:contextualSpacing/>
        <w:rPr>
          <w:rFonts w:ascii="Arial" w:hAnsi="Arial" w:cs="Arial"/>
          <w:color w:val="000000"/>
          <w:lang w:val="en"/>
        </w:rPr>
      </w:pPr>
    </w:p>
    <w:p w14:paraId="659F66CF" w14:textId="62126253" w:rsidR="00CE4614" w:rsidRPr="00C072CD" w:rsidRDefault="00C072CD" w:rsidP="00CE4614">
      <w:pPr>
        <w:numPr>
          <w:ilvl w:val="0"/>
          <w:numId w:val="9"/>
        </w:numPr>
        <w:contextualSpacing/>
        <w:rPr>
          <w:rFonts w:ascii="Arial" w:hAnsi="Arial" w:cs="Arial"/>
          <w:color w:val="0000FF"/>
          <w:u w:val="single"/>
        </w:rPr>
      </w:pPr>
      <w:r w:rsidRPr="00C072CD">
        <w:rPr>
          <w:rFonts w:ascii="Arial" w:hAnsi="Arial" w:cs="Arial"/>
          <w:color w:val="000000"/>
          <w:lang w:val="en"/>
        </w:rPr>
        <w:t>K</w:t>
      </w:r>
      <w:r w:rsidR="00CE4614" w:rsidRPr="00C072CD">
        <w:rPr>
          <w:rFonts w:ascii="Arial" w:hAnsi="Arial" w:cs="Arial"/>
          <w:color w:val="000000"/>
          <w:lang w:val="en"/>
        </w:rPr>
        <w:t xml:space="preserve">eynote speeches and presentations </w:t>
      </w:r>
      <w:r w:rsidRPr="00C072CD">
        <w:rPr>
          <w:rFonts w:ascii="Arial" w:hAnsi="Arial" w:cs="Arial"/>
          <w:color w:val="000000"/>
          <w:lang w:val="en"/>
        </w:rPr>
        <w:t>include</w:t>
      </w:r>
      <w:r w:rsidR="00CE4614" w:rsidRPr="00C072CD">
        <w:rPr>
          <w:rFonts w:ascii="Arial" w:hAnsi="Arial" w:cs="Arial"/>
          <w:color w:val="000000"/>
          <w:lang w:val="en"/>
        </w:rPr>
        <w:t xml:space="preserve"> Jeremy Hunt, Eric Pickles and Norman Lamb, Minister of State for Care, Rob Webster, Chief Executive of the NHS Confederation, Carolyn Downs, Chief Executive of the LGA, Julie Woods, Director of NHS Clinical Commissioners, Jeremy Taylor, Chief Executive of National Voices and David Pearson, President of the Association of Directors of Adult Social Services.  </w:t>
      </w:r>
      <w:hyperlink r:id="rId10" w:history="1">
        <w:r w:rsidR="00CE4614" w:rsidRPr="00C072CD">
          <w:rPr>
            <w:rFonts w:ascii="Arial" w:hAnsi="Arial" w:cs="Arial"/>
            <w:color w:val="0000FF"/>
            <w:u w:val="single"/>
          </w:rPr>
          <w:t>http://www.local.gov.uk/events/-/journal_content/56/10180/6349064/EVENT</w:t>
        </w:r>
      </w:hyperlink>
    </w:p>
    <w:p w14:paraId="7652E9AF" w14:textId="77777777" w:rsidR="00C072CD" w:rsidRDefault="00C072CD" w:rsidP="00CE4614">
      <w:pPr>
        <w:rPr>
          <w:rFonts w:ascii="Arial" w:hAnsi="Arial" w:cs="Arial"/>
          <w:b/>
          <w:color w:val="000000"/>
        </w:rPr>
      </w:pPr>
    </w:p>
    <w:p w14:paraId="659F66D0" w14:textId="77777777" w:rsidR="00CE4614" w:rsidRPr="00CE4614" w:rsidRDefault="00CE4614" w:rsidP="00CE4614">
      <w:pPr>
        <w:rPr>
          <w:rFonts w:ascii="Arial" w:hAnsi="Arial" w:cs="Arial"/>
          <w:color w:val="000000"/>
        </w:rPr>
      </w:pPr>
      <w:r w:rsidRPr="00CE4614">
        <w:rPr>
          <w:rFonts w:ascii="Arial" w:hAnsi="Arial" w:cs="Arial"/>
          <w:b/>
          <w:color w:val="000000"/>
        </w:rPr>
        <w:lastRenderedPageBreak/>
        <w:t>National Children and Adult Services conference</w:t>
      </w:r>
      <w:r w:rsidRPr="00CE4614">
        <w:rPr>
          <w:rFonts w:ascii="Arial" w:hAnsi="Arial" w:cs="Arial"/>
          <w:color w:val="000000"/>
        </w:rPr>
        <w:t>, 29 October 2014-31 October 2014, Manchester Central Conference Centre</w:t>
      </w:r>
    </w:p>
    <w:p w14:paraId="659F66D1" w14:textId="3CA584FF" w:rsidR="00CE4614" w:rsidRPr="00CE4614" w:rsidRDefault="00CE4614" w:rsidP="00CE4614">
      <w:pPr>
        <w:numPr>
          <w:ilvl w:val="0"/>
          <w:numId w:val="9"/>
        </w:numPr>
        <w:contextualSpacing/>
        <w:rPr>
          <w:rFonts w:ascii="Arial" w:hAnsi="Arial" w:cs="Arial"/>
          <w:color w:val="000000"/>
        </w:rPr>
      </w:pPr>
      <w:r w:rsidRPr="00CE4614">
        <w:rPr>
          <w:rFonts w:ascii="Arial" w:hAnsi="Arial" w:cs="Arial"/>
          <w:color w:val="000000"/>
        </w:rPr>
        <w:t xml:space="preserve">This year’s joint LGA, ADASS and ADCS conference will include sessions by key individuals in the adult, children and education sectors. To be held in Manchester, the main sessions will focus on integration, Care Act Implementation and other key issues, such as mental health, workforce and transitions. There will also be opportunity for discussions with Secretary for State, Ministerial and shadow teams. In response to requests for a focus on current practice, as well as a range of ‘innovation’ sessions on the conference programme, an informal ‘speakers corner’ will give delegates an opportunity to discuss current issues via short sessions on key topics. For more information and to make a booking, please go to </w:t>
      </w:r>
      <w:hyperlink r:id="rId11" w:history="1">
        <w:r w:rsidRPr="00CE4614">
          <w:rPr>
            <w:rFonts w:ascii="Arial" w:hAnsi="Arial" w:cs="Arial"/>
            <w:color w:val="0000FF"/>
            <w:u w:val="single"/>
          </w:rPr>
          <w:t>http://www.adass.org.uk/ncasc-2014/</w:t>
        </w:r>
      </w:hyperlink>
    </w:p>
    <w:p w14:paraId="659F66D2" w14:textId="77777777" w:rsidR="00CE4614" w:rsidRPr="00CE4614" w:rsidRDefault="00CE4614" w:rsidP="00CE4614">
      <w:pPr>
        <w:ind w:left="360"/>
        <w:contextualSpacing/>
        <w:rPr>
          <w:rFonts w:ascii="Arial" w:hAnsi="Arial" w:cs="Arial"/>
          <w:color w:val="000000"/>
        </w:rPr>
      </w:pPr>
    </w:p>
    <w:p w14:paraId="659F66D3" w14:textId="77777777" w:rsidR="00CE4614" w:rsidRPr="00CE4614" w:rsidRDefault="00CE4614" w:rsidP="00CE4614">
      <w:pPr>
        <w:numPr>
          <w:ilvl w:val="0"/>
          <w:numId w:val="9"/>
        </w:numPr>
        <w:contextualSpacing/>
        <w:rPr>
          <w:rFonts w:ascii="Arial" w:hAnsi="Arial" w:cs="Arial"/>
          <w:color w:val="000000"/>
        </w:rPr>
      </w:pPr>
      <w:r w:rsidRPr="00CE4614">
        <w:rPr>
          <w:rFonts w:ascii="Arial" w:hAnsi="Arial" w:cs="Arial"/>
          <w:b/>
          <w:color w:val="000000"/>
        </w:rPr>
        <w:t xml:space="preserve">Leadership Essentials for </w:t>
      </w:r>
      <w:hyperlink r:id="rId12" w:history="1">
        <w:r w:rsidRPr="00CE4614">
          <w:rPr>
            <w:rFonts w:ascii="Arial" w:hAnsi="Arial" w:cs="Arial"/>
            <w:b/>
            <w:color w:val="0000FF"/>
            <w:u w:val="single"/>
          </w:rPr>
          <w:t>adult social care portfolio holders</w:t>
        </w:r>
      </w:hyperlink>
      <w:r w:rsidRPr="00CE4614">
        <w:rPr>
          <w:rFonts w:ascii="Arial" w:hAnsi="Arial" w:cs="Arial"/>
          <w:b/>
          <w:color w:val="000000"/>
        </w:rPr>
        <w:t xml:space="preserve"> </w:t>
      </w:r>
      <w:r w:rsidRPr="00CE4614">
        <w:rPr>
          <w:rFonts w:ascii="Arial" w:hAnsi="Arial" w:cs="Arial"/>
          <w:color w:val="000000"/>
        </w:rPr>
        <w:t>(Warwick) 13 – 14 November</w:t>
      </w:r>
    </w:p>
    <w:p w14:paraId="659F66D4" w14:textId="77777777" w:rsidR="00CE4614" w:rsidRPr="00CE4614" w:rsidRDefault="00CE4614" w:rsidP="00CE4614">
      <w:pPr>
        <w:ind w:left="720"/>
        <w:contextualSpacing/>
        <w:rPr>
          <w:rFonts w:ascii="Arial" w:hAnsi="Arial" w:cs="Arial"/>
          <w:color w:val="000000"/>
        </w:rPr>
      </w:pPr>
    </w:p>
    <w:p w14:paraId="659F66D5" w14:textId="77777777" w:rsidR="00CE4614" w:rsidRPr="00CE4614" w:rsidRDefault="00CE4614" w:rsidP="00CE4614">
      <w:pPr>
        <w:numPr>
          <w:ilvl w:val="0"/>
          <w:numId w:val="9"/>
        </w:numPr>
        <w:contextualSpacing/>
        <w:rPr>
          <w:rFonts w:ascii="Arial" w:hAnsi="Arial" w:cs="Arial"/>
          <w:color w:val="000000"/>
        </w:rPr>
      </w:pPr>
      <w:r w:rsidRPr="00CE4614">
        <w:rPr>
          <w:rFonts w:ascii="Arial" w:hAnsi="Arial" w:cs="Arial"/>
          <w:b/>
          <w:color w:val="000000"/>
        </w:rPr>
        <w:t xml:space="preserve">Leadership Essentials for </w:t>
      </w:r>
      <w:hyperlink r:id="rId13" w:history="1">
        <w:r w:rsidRPr="00CE4614">
          <w:rPr>
            <w:rFonts w:ascii="Arial" w:hAnsi="Arial" w:cs="Arial"/>
            <w:b/>
            <w:color w:val="0000FF"/>
            <w:u w:val="single"/>
          </w:rPr>
          <w:t>HWB Chairs</w:t>
        </w:r>
      </w:hyperlink>
      <w:r w:rsidRPr="00CE4614">
        <w:rPr>
          <w:rFonts w:ascii="Arial" w:hAnsi="Arial" w:cs="Arial"/>
          <w:color w:val="000000"/>
        </w:rPr>
        <w:t xml:space="preserve"> (Horsham), 2 – 3 December 2014 </w:t>
      </w:r>
    </w:p>
    <w:p w14:paraId="659F66D6" w14:textId="77777777" w:rsidR="00CE4614" w:rsidRPr="00CE4614" w:rsidRDefault="00CE4614" w:rsidP="00CE4614">
      <w:pPr>
        <w:spacing w:after="0" w:line="240" w:lineRule="auto"/>
        <w:rPr>
          <w:rFonts w:ascii="Arial" w:hAnsi="Arial" w:cs="Arial"/>
        </w:rPr>
      </w:pPr>
    </w:p>
    <w:p w14:paraId="659F66D7" w14:textId="77777777" w:rsidR="00CE4614" w:rsidRPr="00CE4614" w:rsidRDefault="00CE4614" w:rsidP="00CE4614">
      <w:pPr>
        <w:numPr>
          <w:ilvl w:val="0"/>
          <w:numId w:val="9"/>
        </w:numPr>
        <w:spacing w:after="0" w:line="240" w:lineRule="auto"/>
        <w:contextualSpacing/>
        <w:rPr>
          <w:rFonts w:ascii="Arial" w:hAnsi="Arial" w:cs="Arial"/>
        </w:rPr>
      </w:pPr>
      <w:r w:rsidRPr="00CE4614">
        <w:rPr>
          <w:rFonts w:ascii="Arial" w:hAnsi="Arial" w:cs="Arial"/>
          <w:b/>
        </w:rPr>
        <w:t>LGA Annual Public Health Conference</w:t>
      </w:r>
      <w:r w:rsidRPr="00CE4614">
        <w:rPr>
          <w:rFonts w:ascii="Arial" w:hAnsi="Arial" w:cs="Arial"/>
        </w:rPr>
        <w:t xml:space="preserve"> (London), 11 February 2015</w:t>
      </w:r>
    </w:p>
    <w:p w14:paraId="659F66D8" w14:textId="77777777" w:rsidR="00AF249B" w:rsidRPr="0082395C" w:rsidRDefault="00AF249B" w:rsidP="0082395C">
      <w:pPr>
        <w:pStyle w:val="ListParagraph"/>
        <w:spacing w:after="0" w:line="240" w:lineRule="auto"/>
        <w:rPr>
          <w:rFonts w:ascii="Arial" w:hAnsi="Arial" w:cs="Arial"/>
        </w:rPr>
      </w:pPr>
    </w:p>
    <w:tbl>
      <w:tblPr>
        <w:tblW w:w="0" w:type="auto"/>
        <w:tblInd w:w="855" w:type="dxa"/>
        <w:tblBorders>
          <w:top w:val="nil"/>
          <w:left w:val="nil"/>
          <w:bottom w:val="nil"/>
          <w:right w:val="nil"/>
        </w:tblBorders>
        <w:tblLayout w:type="fixed"/>
        <w:tblLook w:val="0000" w:firstRow="0" w:lastRow="0" w:firstColumn="0" w:lastColumn="0" w:noHBand="0" w:noVBand="0"/>
      </w:tblPr>
      <w:tblGrid>
        <w:gridCol w:w="3174"/>
        <w:gridCol w:w="3174"/>
      </w:tblGrid>
      <w:tr w:rsidR="0047646A" w:rsidRPr="0047646A" w14:paraId="659F66DD" w14:textId="77777777" w:rsidTr="007D344F">
        <w:trPr>
          <w:trHeight w:val="131"/>
        </w:trPr>
        <w:tc>
          <w:tcPr>
            <w:tcW w:w="3174" w:type="dxa"/>
          </w:tcPr>
          <w:p w14:paraId="659F66D9" w14:textId="77777777" w:rsidR="001D3341" w:rsidRDefault="001D3341" w:rsidP="0047646A">
            <w:pPr>
              <w:autoSpaceDE w:val="0"/>
              <w:autoSpaceDN w:val="0"/>
              <w:adjustRightInd w:val="0"/>
              <w:spacing w:after="0" w:line="240" w:lineRule="auto"/>
              <w:rPr>
                <w:rFonts w:ascii="Arial" w:hAnsi="Arial" w:cs="Arial"/>
                <w:b/>
                <w:bCs/>
                <w:color w:val="000000"/>
              </w:rPr>
            </w:pPr>
          </w:p>
          <w:p w14:paraId="659F66DA" w14:textId="77777777" w:rsidR="0047646A" w:rsidRPr="0047646A" w:rsidRDefault="0083372F" w:rsidP="0047646A">
            <w:pPr>
              <w:autoSpaceDE w:val="0"/>
              <w:autoSpaceDN w:val="0"/>
              <w:adjustRightInd w:val="0"/>
              <w:spacing w:after="0" w:line="240" w:lineRule="auto"/>
              <w:rPr>
                <w:rFonts w:ascii="Arial" w:hAnsi="Arial" w:cs="Arial"/>
                <w:color w:val="000000"/>
              </w:rPr>
            </w:pPr>
            <w:r>
              <w:rPr>
                <w:rFonts w:ascii="Arial" w:hAnsi="Arial" w:cs="Arial"/>
                <w:b/>
                <w:bCs/>
                <w:color w:val="000000"/>
              </w:rPr>
              <w:t>C</w:t>
            </w:r>
            <w:r w:rsidR="0047646A" w:rsidRPr="0047646A">
              <w:rPr>
                <w:rFonts w:ascii="Arial" w:hAnsi="Arial" w:cs="Arial"/>
                <w:b/>
                <w:bCs/>
                <w:color w:val="000000"/>
              </w:rPr>
              <w:t xml:space="preserve">ontact officer: </w:t>
            </w:r>
          </w:p>
        </w:tc>
        <w:tc>
          <w:tcPr>
            <w:tcW w:w="3174" w:type="dxa"/>
          </w:tcPr>
          <w:p w14:paraId="659F66DB" w14:textId="77777777" w:rsidR="001D3341" w:rsidRDefault="001D3341" w:rsidP="0047646A">
            <w:pPr>
              <w:autoSpaceDE w:val="0"/>
              <w:autoSpaceDN w:val="0"/>
              <w:adjustRightInd w:val="0"/>
              <w:spacing w:after="0" w:line="240" w:lineRule="auto"/>
              <w:rPr>
                <w:rFonts w:ascii="Arial" w:hAnsi="Arial" w:cs="Arial"/>
                <w:color w:val="000000"/>
              </w:rPr>
            </w:pPr>
          </w:p>
          <w:p w14:paraId="659F66DC" w14:textId="77777777" w:rsidR="0047646A" w:rsidRPr="0047646A" w:rsidRDefault="00CE4614" w:rsidP="0047646A">
            <w:pPr>
              <w:autoSpaceDE w:val="0"/>
              <w:autoSpaceDN w:val="0"/>
              <w:adjustRightInd w:val="0"/>
              <w:spacing w:after="0" w:line="240" w:lineRule="auto"/>
              <w:rPr>
                <w:rFonts w:ascii="Arial" w:hAnsi="Arial" w:cs="Arial"/>
                <w:color w:val="000000"/>
              </w:rPr>
            </w:pPr>
            <w:r>
              <w:rPr>
                <w:rFonts w:ascii="Arial" w:hAnsi="Arial" w:cs="Arial"/>
                <w:color w:val="000000"/>
              </w:rPr>
              <w:t>Sally Burlington</w:t>
            </w:r>
          </w:p>
        </w:tc>
      </w:tr>
      <w:tr w:rsidR="0047646A" w:rsidRPr="0047646A" w14:paraId="659F66E0" w14:textId="77777777" w:rsidTr="007D344F">
        <w:trPr>
          <w:trHeight w:val="131"/>
        </w:trPr>
        <w:tc>
          <w:tcPr>
            <w:tcW w:w="3174" w:type="dxa"/>
          </w:tcPr>
          <w:p w14:paraId="659F66DE" w14:textId="77777777" w:rsidR="0047646A" w:rsidRPr="0047646A" w:rsidRDefault="0047646A" w:rsidP="0047646A">
            <w:pPr>
              <w:autoSpaceDE w:val="0"/>
              <w:autoSpaceDN w:val="0"/>
              <w:adjustRightInd w:val="0"/>
              <w:spacing w:after="0" w:line="240" w:lineRule="auto"/>
              <w:rPr>
                <w:rFonts w:ascii="Arial" w:hAnsi="Arial" w:cs="Arial"/>
                <w:color w:val="000000"/>
              </w:rPr>
            </w:pPr>
            <w:r w:rsidRPr="0047646A">
              <w:rPr>
                <w:rFonts w:ascii="Arial" w:hAnsi="Arial" w:cs="Arial"/>
                <w:b/>
                <w:bCs/>
                <w:color w:val="000000"/>
              </w:rPr>
              <w:t xml:space="preserve">Position: </w:t>
            </w:r>
          </w:p>
        </w:tc>
        <w:tc>
          <w:tcPr>
            <w:tcW w:w="3174" w:type="dxa"/>
          </w:tcPr>
          <w:p w14:paraId="659F66DF" w14:textId="77777777" w:rsidR="0047646A" w:rsidRPr="0047646A" w:rsidRDefault="00C55A34" w:rsidP="0047646A">
            <w:pPr>
              <w:autoSpaceDE w:val="0"/>
              <w:autoSpaceDN w:val="0"/>
              <w:adjustRightInd w:val="0"/>
              <w:spacing w:after="0" w:line="240" w:lineRule="auto"/>
              <w:rPr>
                <w:rFonts w:ascii="Arial" w:hAnsi="Arial" w:cs="Arial"/>
                <w:color w:val="000000"/>
              </w:rPr>
            </w:pPr>
            <w:r>
              <w:rPr>
                <w:rFonts w:ascii="Arial" w:hAnsi="Arial" w:cs="Arial"/>
                <w:color w:val="000000"/>
              </w:rPr>
              <w:t>Head of Programme</w:t>
            </w:r>
            <w:r w:rsidR="00CE4614">
              <w:rPr>
                <w:rFonts w:ascii="Arial" w:hAnsi="Arial" w:cs="Arial"/>
                <w:color w:val="000000"/>
              </w:rPr>
              <w:t>s</w:t>
            </w:r>
          </w:p>
        </w:tc>
      </w:tr>
      <w:tr w:rsidR="0047646A" w:rsidRPr="0047646A" w14:paraId="659F66E3" w14:textId="77777777" w:rsidTr="007D344F">
        <w:trPr>
          <w:trHeight w:val="131"/>
        </w:trPr>
        <w:tc>
          <w:tcPr>
            <w:tcW w:w="3174" w:type="dxa"/>
          </w:tcPr>
          <w:p w14:paraId="659F66E1" w14:textId="77777777" w:rsidR="0047646A" w:rsidRPr="0047646A" w:rsidRDefault="0047646A" w:rsidP="0047646A">
            <w:pPr>
              <w:autoSpaceDE w:val="0"/>
              <w:autoSpaceDN w:val="0"/>
              <w:adjustRightInd w:val="0"/>
              <w:spacing w:after="0" w:line="240" w:lineRule="auto"/>
              <w:rPr>
                <w:rFonts w:ascii="Arial" w:hAnsi="Arial" w:cs="Arial"/>
                <w:color w:val="000000"/>
              </w:rPr>
            </w:pPr>
            <w:r w:rsidRPr="0047646A">
              <w:rPr>
                <w:rFonts w:ascii="Arial" w:hAnsi="Arial" w:cs="Arial"/>
                <w:b/>
                <w:bCs/>
                <w:color w:val="000000"/>
              </w:rPr>
              <w:t xml:space="preserve">Phone no: </w:t>
            </w:r>
          </w:p>
        </w:tc>
        <w:tc>
          <w:tcPr>
            <w:tcW w:w="3174" w:type="dxa"/>
          </w:tcPr>
          <w:p w14:paraId="659F66E2" w14:textId="77777777" w:rsidR="0047646A" w:rsidRPr="0047646A" w:rsidRDefault="00CE4614" w:rsidP="0047646A">
            <w:pPr>
              <w:autoSpaceDE w:val="0"/>
              <w:autoSpaceDN w:val="0"/>
              <w:adjustRightInd w:val="0"/>
              <w:spacing w:after="0" w:line="240" w:lineRule="auto"/>
              <w:rPr>
                <w:rFonts w:ascii="Arial" w:hAnsi="Arial" w:cs="Arial"/>
                <w:color w:val="000000"/>
              </w:rPr>
            </w:pPr>
            <w:r>
              <w:rPr>
                <w:rFonts w:ascii="Arial" w:hAnsi="Arial" w:cs="Arial"/>
                <w:color w:val="000000"/>
              </w:rPr>
              <w:t>020 7664 3099</w:t>
            </w:r>
          </w:p>
        </w:tc>
      </w:tr>
      <w:tr w:rsidR="0047646A" w:rsidRPr="0047646A" w14:paraId="659F66E6" w14:textId="77777777" w:rsidTr="007D344F">
        <w:trPr>
          <w:trHeight w:val="131"/>
        </w:trPr>
        <w:tc>
          <w:tcPr>
            <w:tcW w:w="3174" w:type="dxa"/>
          </w:tcPr>
          <w:p w14:paraId="659F66E4" w14:textId="77777777" w:rsidR="0047646A" w:rsidRPr="0047646A" w:rsidRDefault="0047646A" w:rsidP="0047646A">
            <w:pPr>
              <w:autoSpaceDE w:val="0"/>
              <w:autoSpaceDN w:val="0"/>
              <w:adjustRightInd w:val="0"/>
              <w:spacing w:after="0" w:line="240" w:lineRule="auto"/>
              <w:rPr>
                <w:rFonts w:ascii="Arial" w:hAnsi="Arial" w:cs="Arial"/>
                <w:color w:val="000000"/>
              </w:rPr>
            </w:pPr>
            <w:r w:rsidRPr="0047646A">
              <w:rPr>
                <w:rFonts w:ascii="Arial" w:hAnsi="Arial" w:cs="Arial"/>
                <w:b/>
                <w:bCs/>
                <w:color w:val="000000"/>
              </w:rPr>
              <w:t xml:space="preserve">E-mail: </w:t>
            </w:r>
          </w:p>
        </w:tc>
        <w:tc>
          <w:tcPr>
            <w:tcW w:w="3174" w:type="dxa"/>
          </w:tcPr>
          <w:p w14:paraId="659F66E5" w14:textId="77777777" w:rsidR="0047646A" w:rsidRPr="0047646A" w:rsidRDefault="00CE4614" w:rsidP="0047646A">
            <w:pPr>
              <w:autoSpaceDE w:val="0"/>
              <w:autoSpaceDN w:val="0"/>
              <w:adjustRightInd w:val="0"/>
              <w:spacing w:after="0" w:line="240" w:lineRule="auto"/>
              <w:rPr>
                <w:rFonts w:ascii="Arial" w:hAnsi="Arial" w:cs="Arial"/>
                <w:color w:val="000000"/>
              </w:rPr>
            </w:pPr>
            <w:r>
              <w:rPr>
                <w:rFonts w:ascii="Arial" w:hAnsi="Arial" w:cs="Arial"/>
                <w:color w:val="000000"/>
              </w:rPr>
              <w:t>Sally.burlington</w:t>
            </w:r>
            <w:r w:rsidR="0047646A" w:rsidRPr="0047646A">
              <w:rPr>
                <w:rFonts w:ascii="Arial" w:hAnsi="Arial" w:cs="Arial"/>
                <w:color w:val="000000"/>
              </w:rPr>
              <w:t xml:space="preserve">@local.gov.uk </w:t>
            </w:r>
          </w:p>
        </w:tc>
      </w:tr>
    </w:tbl>
    <w:p w14:paraId="659F66E7" w14:textId="77777777" w:rsidR="0047646A" w:rsidRPr="0047646A" w:rsidRDefault="0047646A" w:rsidP="00BB2342"/>
    <w:sectPr w:rsidR="0047646A" w:rsidRPr="0047646A" w:rsidSect="0083372F">
      <w:headerReference w:type="default" r:id="rId14"/>
      <w:pgSz w:w="11906" w:h="16838"/>
      <w:pgMar w:top="575" w:right="1440" w:bottom="1440" w:left="1440"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F66EA" w14:textId="77777777" w:rsidR="00295048" w:rsidRDefault="00295048" w:rsidP="0047646A">
      <w:pPr>
        <w:spacing w:after="0" w:line="240" w:lineRule="auto"/>
      </w:pPr>
      <w:r>
        <w:separator/>
      </w:r>
    </w:p>
  </w:endnote>
  <w:endnote w:type="continuationSeparator" w:id="0">
    <w:p w14:paraId="659F66EB" w14:textId="77777777" w:rsidR="00295048" w:rsidRDefault="00295048" w:rsidP="0047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F66E8" w14:textId="77777777" w:rsidR="00295048" w:rsidRDefault="00295048" w:rsidP="0047646A">
      <w:pPr>
        <w:spacing w:after="0" w:line="240" w:lineRule="auto"/>
      </w:pPr>
      <w:r>
        <w:separator/>
      </w:r>
    </w:p>
  </w:footnote>
  <w:footnote w:type="continuationSeparator" w:id="0">
    <w:p w14:paraId="659F66E9" w14:textId="77777777" w:rsidR="00295048" w:rsidRDefault="00295048" w:rsidP="0047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49"/>
      <w:gridCol w:w="3493"/>
    </w:tblGrid>
    <w:tr w:rsidR="0047646A" w14:paraId="659F66EF" w14:textId="77777777" w:rsidTr="0083372F">
      <w:trPr>
        <w:trHeight w:val="142"/>
      </w:trPr>
      <w:tc>
        <w:tcPr>
          <w:tcW w:w="5778" w:type="dxa"/>
          <w:vMerge w:val="restart"/>
        </w:tcPr>
        <w:p w14:paraId="659F66EC" w14:textId="77777777" w:rsidR="0047646A" w:rsidRDefault="0047646A" w:rsidP="007D344F">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659F66F9" wp14:editId="659F66FA">
                <wp:simplePos x="0" y="0"/>
                <wp:positionH relativeFrom="column">
                  <wp:posOffset>0</wp:posOffset>
                </wp:positionH>
                <wp:positionV relativeFrom="paragraph">
                  <wp:posOffset>-649605</wp:posOffset>
                </wp:positionV>
                <wp:extent cx="1314450" cy="781050"/>
                <wp:effectExtent l="0" t="0" r="0" b="0"/>
                <wp:wrapTight wrapText="bothSides">
                  <wp:wrapPolygon edited="0">
                    <wp:start x="0" y="0"/>
                    <wp:lineTo x="0" y="21073"/>
                    <wp:lineTo x="21287" y="21073"/>
                    <wp:lineTo x="21287" y="0"/>
                    <wp:lineTo x="0" y="0"/>
                  </wp:wrapPolygon>
                </wp:wrapTight>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14:paraId="659F66ED" w14:textId="77777777" w:rsidR="0047646A" w:rsidRDefault="0047646A" w:rsidP="007D344F">
          <w:pPr>
            <w:pStyle w:val="Header"/>
            <w:rPr>
              <w:rFonts w:ascii="Arial" w:hAnsi="Arial" w:cs="Arial"/>
            </w:rPr>
          </w:pPr>
        </w:p>
      </w:tc>
      <w:tc>
        <w:tcPr>
          <w:tcW w:w="3509" w:type="dxa"/>
          <w:hideMark/>
        </w:tcPr>
        <w:p w14:paraId="659F66EE" w14:textId="77777777" w:rsidR="0047646A" w:rsidRDefault="0047646A" w:rsidP="007D344F">
          <w:pPr>
            <w:pStyle w:val="Header"/>
            <w:rPr>
              <w:rFonts w:ascii="Arial" w:hAnsi="Arial" w:cs="Arial"/>
              <w:b/>
            </w:rPr>
          </w:pPr>
          <w:r>
            <w:rPr>
              <w:rFonts w:ascii="Arial" w:hAnsi="Arial" w:cs="Arial"/>
              <w:b/>
            </w:rPr>
            <w:t xml:space="preserve">Councillors’ Forum </w:t>
          </w:r>
        </w:p>
      </w:tc>
    </w:tr>
    <w:tr w:rsidR="0047646A" w14:paraId="659F66F4" w14:textId="77777777" w:rsidTr="007D344F">
      <w:trPr>
        <w:trHeight w:val="450"/>
      </w:trPr>
      <w:tc>
        <w:tcPr>
          <w:tcW w:w="0" w:type="auto"/>
          <w:vMerge/>
          <w:vAlign w:val="center"/>
          <w:hideMark/>
        </w:tcPr>
        <w:p w14:paraId="659F66F0" w14:textId="77777777" w:rsidR="0047646A" w:rsidRDefault="0047646A" w:rsidP="007D344F">
          <w:pPr>
            <w:spacing w:line="240" w:lineRule="auto"/>
            <w:rPr>
              <w:rFonts w:ascii="Arial" w:eastAsia="Times New Roman" w:hAnsi="Arial" w:cs="Arial"/>
              <w:szCs w:val="20"/>
            </w:rPr>
          </w:pPr>
        </w:p>
      </w:tc>
      <w:tc>
        <w:tcPr>
          <w:tcW w:w="3509" w:type="dxa"/>
        </w:tcPr>
        <w:p w14:paraId="659F66F1" w14:textId="77777777" w:rsidR="0047646A" w:rsidRDefault="00FE7129" w:rsidP="007D344F">
          <w:pPr>
            <w:pStyle w:val="Header"/>
            <w:spacing w:before="60"/>
            <w:rPr>
              <w:rFonts w:ascii="Arial" w:hAnsi="Arial" w:cs="Arial"/>
            </w:rPr>
          </w:pPr>
          <w:r>
            <w:rPr>
              <w:rFonts w:ascii="Arial" w:hAnsi="Arial" w:cs="Arial"/>
            </w:rPr>
            <w:t>23 October</w:t>
          </w:r>
          <w:r w:rsidR="0047646A">
            <w:rPr>
              <w:rFonts w:ascii="Arial" w:hAnsi="Arial" w:cs="Arial"/>
            </w:rPr>
            <w:t xml:space="preserve"> 2014</w:t>
          </w:r>
        </w:p>
        <w:p w14:paraId="659F66F2" w14:textId="77777777" w:rsidR="0047646A" w:rsidRDefault="0047646A" w:rsidP="007D344F">
          <w:pPr>
            <w:pStyle w:val="Header"/>
            <w:spacing w:before="60"/>
            <w:rPr>
              <w:rFonts w:ascii="Arial" w:hAnsi="Arial" w:cs="Arial"/>
            </w:rPr>
          </w:pPr>
        </w:p>
        <w:p w14:paraId="659F66F3" w14:textId="77777777" w:rsidR="0047646A" w:rsidRDefault="0047646A" w:rsidP="007D344F">
          <w:pPr>
            <w:pStyle w:val="Header"/>
            <w:spacing w:before="60"/>
            <w:rPr>
              <w:rFonts w:ascii="Arial" w:hAnsi="Arial" w:cs="Arial"/>
              <w:b/>
            </w:rPr>
          </w:pPr>
        </w:p>
      </w:tc>
    </w:tr>
    <w:tr w:rsidR="0047646A" w14:paraId="659F66F7" w14:textId="77777777" w:rsidTr="007D344F">
      <w:trPr>
        <w:trHeight w:val="450"/>
      </w:trPr>
      <w:tc>
        <w:tcPr>
          <w:tcW w:w="0" w:type="auto"/>
          <w:vMerge/>
          <w:vAlign w:val="center"/>
          <w:hideMark/>
        </w:tcPr>
        <w:p w14:paraId="659F66F5" w14:textId="77777777" w:rsidR="0047646A" w:rsidRDefault="0047646A" w:rsidP="007D344F">
          <w:pPr>
            <w:spacing w:line="240" w:lineRule="auto"/>
            <w:rPr>
              <w:rFonts w:ascii="Arial" w:eastAsia="Times New Roman" w:hAnsi="Arial" w:cs="Arial"/>
              <w:szCs w:val="20"/>
            </w:rPr>
          </w:pPr>
        </w:p>
      </w:tc>
      <w:tc>
        <w:tcPr>
          <w:tcW w:w="3509" w:type="dxa"/>
          <w:vAlign w:val="bottom"/>
        </w:tcPr>
        <w:p w14:paraId="659F66F6" w14:textId="77777777" w:rsidR="0047646A" w:rsidRDefault="0047646A" w:rsidP="007D344F">
          <w:pPr>
            <w:pStyle w:val="Header"/>
            <w:spacing w:before="60"/>
            <w:rPr>
              <w:rFonts w:ascii="Arial" w:hAnsi="Arial" w:cs="Arial"/>
              <w:b/>
            </w:rPr>
          </w:pPr>
        </w:p>
      </w:tc>
    </w:tr>
  </w:tbl>
  <w:p w14:paraId="659F66F8" w14:textId="77777777" w:rsidR="0047646A" w:rsidRDefault="00476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2667"/>
    <w:multiLevelType w:val="multilevel"/>
    <w:tmpl w:val="2E9A28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A3B2EE5"/>
    <w:multiLevelType w:val="hybridMultilevel"/>
    <w:tmpl w:val="8F401E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5C83FA3"/>
    <w:multiLevelType w:val="multilevel"/>
    <w:tmpl w:val="64E64C88"/>
    <w:lvl w:ilvl="0">
      <w:start w:val="10"/>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C633228"/>
    <w:multiLevelType w:val="hybridMultilevel"/>
    <w:tmpl w:val="B65C587E"/>
    <w:lvl w:ilvl="0" w:tplc="466C127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26B54"/>
    <w:multiLevelType w:val="hybridMultilevel"/>
    <w:tmpl w:val="6BB2F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0D082C"/>
    <w:multiLevelType w:val="multilevel"/>
    <w:tmpl w:val="0E14869C"/>
    <w:lvl w:ilvl="0">
      <w:start w:val="1"/>
      <w:numFmt w:val="decimal"/>
      <w:lvlText w:val="%1."/>
      <w:lvlJc w:val="left"/>
      <w:pPr>
        <w:ind w:left="360" w:hanging="360"/>
      </w:pPr>
      <w:rPr>
        <w:color w:val="auto"/>
      </w:rPr>
    </w:lvl>
    <w:lvl w:ilvl="1">
      <w:start w:val="1"/>
      <w:numFmt w:val="decimal"/>
      <w:isLgl/>
      <w:lvlText w:val="%1.%2"/>
      <w:lvlJc w:val="left"/>
      <w:pPr>
        <w:ind w:left="720" w:hanging="360"/>
      </w:pPr>
      <w:rPr>
        <w:b w:val="0"/>
      </w:rPr>
    </w:lvl>
    <w:lvl w:ilvl="2">
      <w:start w:val="1"/>
      <w:numFmt w:val="decimal"/>
      <w:isLgl/>
      <w:lvlText w:val="%1.%2.%3"/>
      <w:lvlJc w:val="left"/>
      <w:pPr>
        <w:ind w:left="1440" w:hanging="720"/>
      </w:pPr>
      <w:rPr>
        <w:b w:val="0"/>
      </w:rPr>
    </w:lvl>
    <w:lvl w:ilvl="3">
      <w:start w:val="1"/>
      <w:numFmt w:val="decimal"/>
      <w:isLgl/>
      <w:lvlText w:val="%1.%2.%3.%4"/>
      <w:lvlJc w:val="left"/>
      <w:pPr>
        <w:ind w:left="1800" w:hanging="720"/>
      </w:pPr>
      <w:rPr>
        <w:b w:val="0"/>
      </w:rPr>
    </w:lvl>
    <w:lvl w:ilvl="4">
      <w:start w:val="1"/>
      <w:numFmt w:val="decimal"/>
      <w:isLgl/>
      <w:lvlText w:val="%1.%2.%3.%4.%5"/>
      <w:lvlJc w:val="left"/>
      <w:pPr>
        <w:ind w:left="2520" w:hanging="1080"/>
      </w:pPr>
      <w:rPr>
        <w:b w:val="0"/>
      </w:rPr>
    </w:lvl>
    <w:lvl w:ilvl="5">
      <w:start w:val="1"/>
      <w:numFmt w:val="decimal"/>
      <w:isLgl/>
      <w:lvlText w:val="%1.%2.%3.%4.%5.%6"/>
      <w:lvlJc w:val="left"/>
      <w:pPr>
        <w:ind w:left="2880" w:hanging="1080"/>
      </w:pPr>
      <w:rPr>
        <w:b w:val="0"/>
      </w:rPr>
    </w:lvl>
    <w:lvl w:ilvl="6">
      <w:start w:val="1"/>
      <w:numFmt w:val="decimal"/>
      <w:isLgl/>
      <w:lvlText w:val="%1.%2.%3.%4.%5.%6.%7"/>
      <w:lvlJc w:val="left"/>
      <w:pPr>
        <w:ind w:left="3600" w:hanging="1440"/>
      </w:pPr>
      <w:rPr>
        <w:b w:val="0"/>
      </w:rPr>
    </w:lvl>
    <w:lvl w:ilvl="7">
      <w:start w:val="1"/>
      <w:numFmt w:val="decimal"/>
      <w:isLgl/>
      <w:lvlText w:val="%1.%2.%3.%4.%5.%6.%7.%8"/>
      <w:lvlJc w:val="left"/>
      <w:pPr>
        <w:ind w:left="3960" w:hanging="1440"/>
      </w:pPr>
      <w:rPr>
        <w:b w:val="0"/>
      </w:rPr>
    </w:lvl>
    <w:lvl w:ilvl="8">
      <w:start w:val="1"/>
      <w:numFmt w:val="decimal"/>
      <w:isLgl/>
      <w:lvlText w:val="%1.%2.%3.%4.%5.%6.%7.%8.%9"/>
      <w:lvlJc w:val="left"/>
      <w:pPr>
        <w:ind w:left="4680" w:hanging="1800"/>
      </w:pPr>
      <w:rPr>
        <w:b w:val="0"/>
      </w:rPr>
    </w:lvl>
  </w:abstractNum>
  <w:abstractNum w:abstractNumId="6">
    <w:nsid w:val="32400F50"/>
    <w:multiLevelType w:val="hybridMultilevel"/>
    <w:tmpl w:val="74100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42169B"/>
    <w:multiLevelType w:val="hybridMultilevel"/>
    <w:tmpl w:val="98766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C837725"/>
    <w:multiLevelType w:val="hybridMultilevel"/>
    <w:tmpl w:val="33A82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6B55552"/>
    <w:multiLevelType w:val="hybridMultilevel"/>
    <w:tmpl w:val="BEAA2394"/>
    <w:lvl w:ilvl="0" w:tplc="FB686394">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2B1C6B"/>
    <w:multiLevelType w:val="multilevel"/>
    <w:tmpl w:val="113A2C02"/>
    <w:lvl w:ilvl="0">
      <w:start w:val="10"/>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9"/>
  </w:num>
  <w:num w:numId="3">
    <w:abstractNumId w:val="4"/>
  </w:num>
  <w:num w:numId="4">
    <w:abstractNumId w:val="6"/>
  </w:num>
  <w:num w:numId="5">
    <w:abstractNumId w:val="7"/>
  </w:num>
  <w:num w:numId="6">
    <w:abstractNumId w:val="3"/>
  </w:num>
  <w:num w:numId="7">
    <w:abstractNumId w:val="8"/>
  </w:num>
  <w:num w:numId="8">
    <w:abstractNumId w:val="5"/>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6A"/>
    <w:rsid w:val="0008190C"/>
    <w:rsid w:val="00104F07"/>
    <w:rsid w:val="00114955"/>
    <w:rsid w:val="0012328E"/>
    <w:rsid w:val="001664BE"/>
    <w:rsid w:val="0018126D"/>
    <w:rsid w:val="001D3341"/>
    <w:rsid w:val="001E1E79"/>
    <w:rsid w:val="00295048"/>
    <w:rsid w:val="002D673B"/>
    <w:rsid w:val="002E6370"/>
    <w:rsid w:val="00370C75"/>
    <w:rsid w:val="003B2CC8"/>
    <w:rsid w:val="0047646A"/>
    <w:rsid w:val="004D05F8"/>
    <w:rsid w:val="00577757"/>
    <w:rsid w:val="005D43FE"/>
    <w:rsid w:val="005E1FDB"/>
    <w:rsid w:val="00635E07"/>
    <w:rsid w:val="00656C04"/>
    <w:rsid w:val="006A5641"/>
    <w:rsid w:val="006B1B43"/>
    <w:rsid w:val="00730FB0"/>
    <w:rsid w:val="00746ABA"/>
    <w:rsid w:val="00752F0D"/>
    <w:rsid w:val="0082395C"/>
    <w:rsid w:val="0083372F"/>
    <w:rsid w:val="00862AAE"/>
    <w:rsid w:val="008A03C6"/>
    <w:rsid w:val="008D4755"/>
    <w:rsid w:val="009867FF"/>
    <w:rsid w:val="00A16A77"/>
    <w:rsid w:val="00A208E5"/>
    <w:rsid w:val="00A45420"/>
    <w:rsid w:val="00AF249B"/>
    <w:rsid w:val="00B03EDB"/>
    <w:rsid w:val="00B31559"/>
    <w:rsid w:val="00BB2342"/>
    <w:rsid w:val="00BE12B0"/>
    <w:rsid w:val="00C072CD"/>
    <w:rsid w:val="00C55A34"/>
    <w:rsid w:val="00CE4614"/>
    <w:rsid w:val="00E0452E"/>
    <w:rsid w:val="00E603E3"/>
    <w:rsid w:val="00E828CD"/>
    <w:rsid w:val="00F27627"/>
    <w:rsid w:val="00F503AD"/>
    <w:rsid w:val="00F72743"/>
    <w:rsid w:val="00FE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 w:type="paragraph" w:styleId="BalloonText">
    <w:name w:val="Balloon Text"/>
    <w:basedOn w:val="Normal"/>
    <w:link w:val="BalloonTextChar"/>
    <w:uiPriority w:val="99"/>
    <w:semiHidden/>
    <w:unhideWhenUsed/>
    <w:rsid w:val="0012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 w:type="paragraph" w:styleId="BalloonText">
    <w:name w:val="Balloon Text"/>
    <w:basedOn w:val="Normal"/>
    <w:link w:val="BalloonTextChar"/>
    <w:uiPriority w:val="99"/>
    <w:semiHidden/>
    <w:unhideWhenUsed/>
    <w:rsid w:val="0012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38590">
      <w:bodyDiv w:val="1"/>
      <w:marLeft w:val="0"/>
      <w:marRight w:val="0"/>
      <w:marTop w:val="0"/>
      <w:marBottom w:val="0"/>
      <w:divBdr>
        <w:top w:val="none" w:sz="0" w:space="0" w:color="auto"/>
        <w:left w:val="none" w:sz="0" w:space="0" w:color="auto"/>
        <w:bottom w:val="none" w:sz="0" w:space="0" w:color="auto"/>
        <w:right w:val="none" w:sz="0" w:space="0" w:color="auto"/>
      </w:divBdr>
    </w:div>
    <w:div w:id="321857360">
      <w:bodyDiv w:val="1"/>
      <w:marLeft w:val="0"/>
      <w:marRight w:val="0"/>
      <w:marTop w:val="0"/>
      <w:marBottom w:val="0"/>
      <w:divBdr>
        <w:top w:val="none" w:sz="0" w:space="0" w:color="auto"/>
        <w:left w:val="none" w:sz="0" w:space="0" w:color="auto"/>
        <w:bottom w:val="none" w:sz="0" w:space="0" w:color="auto"/>
        <w:right w:val="none" w:sz="0" w:space="0" w:color="auto"/>
      </w:divBdr>
    </w:div>
    <w:div w:id="775489743">
      <w:bodyDiv w:val="1"/>
      <w:marLeft w:val="0"/>
      <w:marRight w:val="0"/>
      <w:marTop w:val="0"/>
      <w:marBottom w:val="0"/>
      <w:divBdr>
        <w:top w:val="none" w:sz="0" w:space="0" w:color="auto"/>
        <w:left w:val="none" w:sz="0" w:space="0" w:color="auto"/>
        <w:bottom w:val="none" w:sz="0" w:space="0" w:color="auto"/>
        <w:right w:val="none" w:sz="0" w:space="0" w:color="auto"/>
      </w:divBdr>
      <w:divsChild>
        <w:div w:id="2125660258">
          <w:marLeft w:val="0"/>
          <w:marRight w:val="0"/>
          <w:marTop w:val="0"/>
          <w:marBottom w:val="0"/>
          <w:divBdr>
            <w:top w:val="none" w:sz="0" w:space="0" w:color="auto"/>
            <w:left w:val="none" w:sz="0" w:space="0" w:color="auto"/>
            <w:bottom w:val="none" w:sz="0" w:space="0" w:color="auto"/>
            <w:right w:val="none" w:sz="0" w:space="0" w:color="auto"/>
          </w:divBdr>
          <w:divsChild>
            <w:div w:id="1383018856">
              <w:marLeft w:val="0"/>
              <w:marRight w:val="0"/>
              <w:marTop w:val="0"/>
              <w:marBottom w:val="0"/>
              <w:divBdr>
                <w:top w:val="none" w:sz="0" w:space="0" w:color="auto"/>
                <w:left w:val="none" w:sz="0" w:space="0" w:color="auto"/>
                <w:bottom w:val="none" w:sz="0" w:space="0" w:color="auto"/>
                <w:right w:val="none" w:sz="0" w:space="0" w:color="auto"/>
              </w:divBdr>
              <w:divsChild>
                <w:div w:id="2094473904">
                  <w:marLeft w:val="0"/>
                  <w:marRight w:val="0"/>
                  <w:marTop w:val="0"/>
                  <w:marBottom w:val="0"/>
                  <w:divBdr>
                    <w:top w:val="none" w:sz="0" w:space="0" w:color="auto"/>
                    <w:left w:val="none" w:sz="0" w:space="0" w:color="auto"/>
                    <w:bottom w:val="none" w:sz="0" w:space="0" w:color="auto"/>
                    <w:right w:val="none" w:sz="0" w:space="0" w:color="auto"/>
                  </w:divBdr>
                  <w:divsChild>
                    <w:div w:id="134417332">
                      <w:marLeft w:val="2325"/>
                      <w:marRight w:val="0"/>
                      <w:marTop w:val="0"/>
                      <w:marBottom w:val="0"/>
                      <w:divBdr>
                        <w:top w:val="none" w:sz="0" w:space="0" w:color="auto"/>
                        <w:left w:val="none" w:sz="0" w:space="0" w:color="auto"/>
                        <w:bottom w:val="none" w:sz="0" w:space="0" w:color="auto"/>
                        <w:right w:val="none" w:sz="0" w:space="0" w:color="auto"/>
                      </w:divBdr>
                      <w:divsChild>
                        <w:div w:id="2135053852">
                          <w:marLeft w:val="0"/>
                          <w:marRight w:val="0"/>
                          <w:marTop w:val="0"/>
                          <w:marBottom w:val="0"/>
                          <w:divBdr>
                            <w:top w:val="none" w:sz="0" w:space="0" w:color="auto"/>
                            <w:left w:val="none" w:sz="0" w:space="0" w:color="auto"/>
                            <w:bottom w:val="none" w:sz="0" w:space="0" w:color="auto"/>
                            <w:right w:val="none" w:sz="0" w:space="0" w:color="auto"/>
                          </w:divBdr>
                          <w:divsChild>
                            <w:div w:id="1151630034">
                              <w:marLeft w:val="0"/>
                              <w:marRight w:val="0"/>
                              <w:marTop w:val="0"/>
                              <w:marBottom w:val="0"/>
                              <w:divBdr>
                                <w:top w:val="none" w:sz="0" w:space="0" w:color="auto"/>
                                <w:left w:val="none" w:sz="0" w:space="0" w:color="auto"/>
                                <w:bottom w:val="none" w:sz="0" w:space="0" w:color="auto"/>
                                <w:right w:val="none" w:sz="0" w:space="0" w:color="auto"/>
                              </w:divBdr>
                              <w:divsChild>
                                <w:div w:id="1550265399">
                                  <w:marLeft w:val="0"/>
                                  <w:marRight w:val="0"/>
                                  <w:marTop w:val="0"/>
                                  <w:marBottom w:val="0"/>
                                  <w:divBdr>
                                    <w:top w:val="none" w:sz="0" w:space="0" w:color="auto"/>
                                    <w:left w:val="none" w:sz="0" w:space="0" w:color="auto"/>
                                    <w:bottom w:val="none" w:sz="0" w:space="0" w:color="auto"/>
                                    <w:right w:val="none" w:sz="0" w:space="0" w:color="auto"/>
                                  </w:divBdr>
                                  <w:divsChild>
                                    <w:div w:id="794712573">
                                      <w:marLeft w:val="0"/>
                                      <w:marRight w:val="0"/>
                                      <w:marTop w:val="0"/>
                                      <w:marBottom w:val="0"/>
                                      <w:divBdr>
                                        <w:top w:val="none" w:sz="0" w:space="0" w:color="auto"/>
                                        <w:left w:val="none" w:sz="0" w:space="0" w:color="auto"/>
                                        <w:bottom w:val="none" w:sz="0" w:space="0" w:color="auto"/>
                                        <w:right w:val="none" w:sz="0" w:space="0" w:color="auto"/>
                                      </w:divBdr>
                                      <w:divsChild>
                                        <w:div w:id="1622690075">
                                          <w:marLeft w:val="0"/>
                                          <w:marRight w:val="0"/>
                                          <w:marTop w:val="75"/>
                                          <w:marBottom w:val="0"/>
                                          <w:divBdr>
                                            <w:top w:val="none" w:sz="0" w:space="0" w:color="auto"/>
                                            <w:left w:val="none" w:sz="0" w:space="0" w:color="auto"/>
                                            <w:bottom w:val="none" w:sz="0" w:space="0" w:color="auto"/>
                                            <w:right w:val="none" w:sz="0" w:space="0" w:color="auto"/>
                                          </w:divBdr>
                                          <w:divsChild>
                                            <w:div w:id="62607828">
                                              <w:marLeft w:val="0"/>
                                              <w:marRight w:val="0"/>
                                              <w:marTop w:val="0"/>
                                              <w:marBottom w:val="0"/>
                                              <w:divBdr>
                                                <w:top w:val="none" w:sz="0" w:space="0" w:color="auto"/>
                                                <w:left w:val="none" w:sz="0" w:space="0" w:color="auto"/>
                                                <w:bottom w:val="none" w:sz="0" w:space="0" w:color="auto"/>
                                                <w:right w:val="none" w:sz="0" w:space="0" w:color="auto"/>
                                              </w:divBdr>
                                              <w:divsChild>
                                                <w:div w:id="659233610">
                                                  <w:marLeft w:val="0"/>
                                                  <w:marRight w:val="0"/>
                                                  <w:marTop w:val="0"/>
                                                  <w:marBottom w:val="0"/>
                                                  <w:divBdr>
                                                    <w:top w:val="none" w:sz="0" w:space="0" w:color="auto"/>
                                                    <w:left w:val="none" w:sz="0" w:space="0" w:color="auto"/>
                                                    <w:bottom w:val="none" w:sz="0" w:space="0" w:color="auto"/>
                                                    <w:right w:val="none" w:sz="0" w:space="0" w:color="auto"/>
                                                  </w:divBdr>
                                                  <w:divsChild>
                                                    <w:div w:id="1203834282">
                                                      <w:marLeft w:val="0"/>
                                                      <w:marRight w:val="0"/>
                                                      <w:marTop w:val="0"/>
                                                      <w:marBottom w:val="0"/>
                                                      <w:divBdr>
                                                        <w:top w:val="none" w:sz="0" w:space="0" w:color="auto"/>
                                                        <w:left w:val="none" w:sz="0" w:space="0" w:color="auto"/>
                                                        <w:bottom w:val="none" w:sz="0" w:space="0" w:color="auto"/>
                                                        <w:right w:val="none" w:sz="0" w:space="0" w:color="auto"/>
                                                      </w:divBdr>
                                                    </w:div>
                                                    <w:div w:id="772091863">
                                                      <w:marLeft w:val="0"/>
                                                      <w:marRight w:val="0"/>
                                                      <w:marTop w:val="0"/>
                                                      <w:marBottom w:val="0"/>
                                                      <w:divBdr>
                                                        <w:top w:val="none" w:sz="0" w:space="0" w:color="auto"/>
                                                        <w:left w:val="none" w:sz="0" w:space="0" w:color="auto"/>
                                                        <w:bottom w:val="none" w:sz="0" w:space="0" w:color="auto"/>
                                                        <w:right w:val="none" w:sz="0" w:space="0" w:color="auto"/>
                                                      </w:divBdr>
                                                    </w:div>
                                                    <w:div w:id="1468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592389">
      <w:bodyDiv w:val="1"/>
      <w:marLeft w:val="0"/>
      <w:marRight w:val="0"/>
      <w:marTop w:val="0"/>
      <w:marBottom w:val="0"/>
      <w:divBdr>
        <w:top w:val="none" w:sz="0" w:space="0" w:color="auto"/>
        <w:left w:val="none" w:sz="0" w:space="0" w:color="auto"/>
        <w:bottom w:val="none" w:sz="0" w:space="0" w:color="auto"/>
        <w:right w:val="none" w:sz="0" w:space="0" w:color="auto"/>
      </w:divBdr>
    </w:div>
    <w:div w:id="1022365132">
      <w:bodyDiv w:val="1"/>
      <w:marLeft w:val="0"/>
      <w:marRight w:val="0"/>
      <w:marTop w:val="0"/>
      <w:marBottom w:val="0"/>
      <w:divBdr>
        <w:top w:val="none" w:sz="0" w:space="0" w:color="auto"/>
        <w:left w:val="none" w:sz="0" w:space="0" w:color="auto"/>
        <w:bottom w:val="none" w:sz="0" w:space="0" w:color="auto"/>
        <w:right w:val="none" w:sz="0" w:space="0" w:color="auto"/>
      </w:divBdr>
    </w:div>
    <w:div w:id="1110004727">
      <w:bodyDiv w:val="1"/>
      <w:marLeft w:val="0"/>
      <w:marRight w:val="0"/>
      <w:marTop w:val="0"/>
      <w:marBottom w:val="0"/>
      <w:divBdr>
        <w:top w:val="none" w:sz="0" w:space="0" w:color="auto"/>
        <w:left w:val="none" w:sz="0" w:space="0" w:color="auto"/>
        <w:bottom w:val="none" w:sz="0" w:space="0" w:color="auto"/>
        <w:right w:val="none" w:sz="0" w:space="0" w:color="auto"/>
      </w:divBdr>
    </w:div>
    <w:div w:id="1246959790">
      <w:bodyDiv w:val="1"/>
      <w:marLeft w:val="0"/>
      <w:marRight w:val="0"/>
      <w:marTop w:val="0"/>
      <w:marBottom w:val="0"/>
      <w:divBdr>
        <w:top w:val="none" w:sz="0" w:space="0" w:color="auto"/>
        <w:left w:val="none" w:sz="0" w:space="0" w:color="auto"/>
        <w:bottom w:val="none" w:sz="0" w:space="0" w:color="auto"/>
        <w:right w:val="none" w:sz="0" w:space="0" w:color="auto"/>
      </w:divBdr>
    </w:div>
    <w:div w:id="1302077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2245">
          <w:marLeft w:val="0"/>
          <w:marRight w:val="0"/>
          <w:marTop w:val="0"/>
          <w:marBottom w:val="0"/>
          <w:divBdr>
            <w:top w:val="none" w:sz="0" w:space="0" w:color="auto"/>
            <w:left w:val="none" w:sz="0" w:space="0" w:color="auto"/>
            <w:bottom w:val="none" w:sz="0" w:space="0" w:color="auto"/>
            <w:right w:val="none" w:sz="0" w:space="0" w:color="auto"/>
          </w:divBdr>
          <w:divsChild>
            <w:div w:id="892501290">
              <w:marLeft w:val="0"/>
              <w:marRight w:val="0"/>
              <w:marTop w:val="0"/>
              <w:marBottom w:val="0"/>
              <w:divBdr>
                <w:top w:val="none" w:sz="0" w:space="0" w:color="auto"/>
                <w:left w:val="none" w:sz="0" w:space="0" w:color="auto"/>
                <w:bottom w:val="none" w:sz="0" w:space="0" w:color="auto"/>
                <w:right w:val="none" w:sz="0" w:space="0" w:color="auto"/>
              </w:divBdr>
              <w:divsChild>
                <w:div w:id="294801448">
                  <w:marLeft w:val="0"/>
                  <w:marRight w:val="0"/>
                  <w:marTop w:val="0"/>
                  <w:marBottom w:val="0"/>
                  <w:divBdr>
                    <w:top w:val="none" w:sz="0" w:space="0" w:color="auto"/>
                    <w:left w:val="none" w:sz="0" w:space="0" w:color="auto"/>
                    <w:bottom w:val="none" w:sz="0" w:space="0" w:color="auto"/>
                    <w:right w:val="none" w:sz="0" w:space="0" w:color="auto"/>
                  </w:divBdr>
                  <w:divsChild>
                    <w:div w:id="2006086681">
                      <w:marLeft w:val="2325"/>
                      <w:marRight w:val="0"/>
                      <w:marTop w:val="0"/>
                      <w:marBottom w:val="0"/>
                      <w:divBdr>
                        <w:top w:val="none" w:sz="0" w:space="0" w:color="auto"/>
                        <w:left w:val="none" w:sz="0" w:space="0" w:color="auto"/>
                        <w:bottom w:val="none" w:sz="0" w:space="0" w:color="auto"/>
                        <w:right w:val="none" w:sz="0" w:space="0" w:color="auto"/>
                      </w:divBdr>
                      <w:divsChild>
                        <w:div w:id="1042363689">
                          <w:marLeft w:val="0"/>
                          <w:marRight w:val="0"/>
                          <w:marTop w:val="0"/>
                          <w:marBottom w:val="0"/>
                          <w:divBdr>
                            <w:top w:val="none" w:sz="0" w:space="0" w:color="auto"/>
                            <w:left w:val="none" w:sz="0" w:space="0" w:color="auto"/>
                            <w:bottom w:val="none" w:sz="0" w:space="0" w:color="auto"/>
                            <w:right w:val="none" w:sz="0" w:space="0" w:color="auto"/>
                          </w:divBdr>
                          <w:divsChild>
                            <w:div w:id="481581504">
                              <w:marLeft w:val="0"/>
                              <w:marRight w:val="0"/>
                              <w:marTop w:val="0"/>
                              <w:marBottom w:val="0"/>
                              <w:divBdr>
                                <w:top w:val="none" w:sz="0" w:space="0" w:color="auto"/>
                                <w:left w:val="none" w:sz="0" w:space="0" w:color="auto"/>
                                <w:bottom w:val="none" w:sz="0" w:space="0" w:color="auto"/>
                                <w:right w:val="none" w:sz="0" w:space="0" w:color="auto"/>
                              </w:divBdr>
                              <w:divsChild>
                                <w:div w:id="1765954176">
                                  <w:marLeft w:val="0"/>
                                  <w:marRight w:val="0"/>
                                  <w:marTop w:val="0"/>
                                  <w:marBottom w:val="0"/>
                                  <w:divBdr>
                                    <w:top w:val="none" w:sz="0" w:space="0" w:color="auto"/>
                                    <w:left w:val="none" w:sz="0" w:space="0" w:color="auto"/>
                                    <w:bottom w:val="none" w:sz="0" w:space="0" w:color="auto"/>
                                    <w:right w:val="none" w:sz="0" w:space="0" w:color="auto"/>
                                  </w:divBdr>
                                  <w:divsChild>
                                    <w:div w:id="1326275273">
                                      <w:marLeft w:val="0"/>
                                      <w:marRight w:val="0"/>
                                      <w:marTop w:val="0"/>
                                      <w:marBottom w:val="0"/>
                                      <w:divBdr>
                                        <w:top w:val="none" w:sz="0" w:space="0" w:color="auto"/>
                                        <w:left w:val="none" w:sz="0" w:space="0" w:color="auto"/>
                                        <w:bottom w:val="none" w:sz="0" w:space="0" w:color="auto"/>
                                        <w:right w:val="none" w:sz="0" w:space="0" w:color="auto"/>
                                      </w:divBdr>
                                      <w:divsChild>
                                        <w:div w:id="309136190">
                                          <w:marLeft w:val="0"/>
                                          <w:marRight w:val="0"/>
                                          <w:marTop w:val="75"/>
                                          <w:marBottom w:val="0"/>
                                          <w:divBdr>
                                            <w:top w:val="none" w:sz="0" w:space="0" w:color="auto"/>
                                            <w:left w:val="none" w:sz="0" w:space="0" w:color="auto"/>
                                            <w:bottom w:val="none" w:sz="0" w:space="0" w:color="auto"/>
                                            <w:right w:val="none" w:sz="0" w:space="0" w:color="auto"/>
                                          </w:divBdr>
                                          <w:divsChild>
                                            <w:div w:id="2091583629">
                                              <w:marLeft w:val="0"/>
                                              <w:marRight w:val="0"/>
                                              <w:marTop w:val="0"/>
                                              <w:marBottom w:val="0"/>
                                              <w:divBdr>
                                                <w:top w:val="none" w:sz="0" w:space="0" w:color="auto"/>
                                                <w:left w:val="none" w:sz="0" w:space="0" w:color="auto"/>
                                                <w:bottom w:val="none" w:sz="0" w:space="0" w:color="auto"/>
                                                <w:right w:val="none" w:sz="0" w:space="0" w:color="auto"/>
                                              </w:divBdr>
                                              <w:divsChild>
                                                <w:div w:id="1849519542">
                                                  <w:marLeft w:val="0"/>
                                                  <w:marRight w:val="0"/>
                                                  <w:marTop w:val="0"/>
                                                  <w:marBottom w:val="0"/>
                                                  <w:divBdr>
                                                    <w:top w:val="none" w:sz="0" w:space="0" w:color="auto"/>
                                                    <w:left w:val="none" w:sz="0" w:space="0" w:color="auto"/>
                                                    <w:bottom w:val="none" w:sz="0" w:space="0" w:color="auto"/>
                                                    <w:right w:val="none" w:sz="0" w:space="0" w:color="auto"/>
                                                  </w:divBdr>
                                                  <w:divsChild>
                                                    <w:div w:id="3633781">
                                                      <w:marLeft w:val="0"/>
                                                      <w:marRight w:val="0"/>
                                                      <w:marTop w:val="0"/>
                                                      <w:marBottom w:val="0"/>
                                                      <w:divBdr>
                                                        <w:top w:val="none" w:sz="0" w:space="0" w:color="auto"/>
                                                        <w:left w:val="none" w:sz="0" w:space="0" w:color="auto"/>
                                                        <w:bottom w:val="none" w:sz="0" w:space="0" w:color="auto"/>
                                                        <w:right w:val="none" w:sz="0" w:space="0" w:color="auto"/>
                                                      </w:divBdr>
                                                    </w:div>
                                                    <w:div w:id="695696082">
                                                      <w:marLeft w:val="0"/>
                                                      <w:marRight w:val="0"/>
                                                      <w:marTop w:val="0"/>
                                                      <w:marBottom w:val="0"/>
                                                      <w:divBdr>
                                                        <w:top w:val="none" w:sz="0" w:space="0" w:color="auto"/>
                                                        <w:left w:val="none" w:sz="0" w:space="0" w:color="auto"/>
                                                        <w:bottom w:val="none" w:sz="0" w:space="0" w:color="auto"/>
                                                        <w:right w:val="none" w:sz="0" w:space="0" w:color="auto"/>
                                                      </w:divBdr>
                                                    </w:div>
                                                    <w:div w:id="16962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477528">
      <w:bodyDiv w:val="1"/>
      <w:marLeft w:val="0"/>
      <w:marRight w:val="0"/>
      <w:marTop w:val="0"/>
      <w:marBottom w:val="0"/>
      <w:divBdr>
        <w:top w:val="none" w:sz="0" w:space="0" w:color="auto"/>
        <w:left w:val="none" w:sz="0" w:space="0" w:color="auto"/>
        <w:bottom w:val="none" w:sz="0" w:space="0" w:color="auto"/>
        <w:right w:val="none" w:sz="0" w:space="0" w:color="auto"/>
      </w:divBdr>
    </w:div>
    <w:div w:id="186609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cic.gov.uk/dols" TargetMode="External"/><Relationship Id="rId13" Type="http://schemas.openxmlformats.org/officeDocument/2006/relationships/hyperlink" Target="http://www.local.gov.uk/events/-/journal_content/56/10180/6348076/EVE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ocal.gov.uk/web/guest/councillor-development/-/journal_content/56/10180/4050391/ARTIC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ass.org.uk/ncasc-20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cal.gov.uk/events/-/journal_content/56/10180/6349064/EVENT" TargetMode="External"/><Relationship Id="rId4" Type="http://schemas.openxmlformats.org/officeDocument/2006/relationships/settings" Target="settings.xml"/><Relationship Id="rId9" Type="http://schemas.openxmlformats.org/officeDocument/2006/relationships/hyperlink" Target="http://www.local.gov.uk/web/guest/adult-social-care/-/journal_content/56/10180/6415062/ARTICL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Davidson</dc:creator>
  <cp:lastModifiedBy>Daniel Kalley</cp:lastModifiedBy>
  <cp:revision>6</cp:revision>
  <dcterms:created xsi:type="dcterms:W3CDTF">2014-10-16T09:59:00Z</dcterms:created>
  <dcterms:modified xsi:type="dcterms:W3CDTF">2014-10-16T13:55:00Z</dcterms:modified>
</cp:coreProperties>
</file>

<file path=docProps/custom.xml><?xml version="1.0" encoding="utf-8"?>
<op:Properties xmlns:op="http://schemas.openxmlformats.org/officeDocument/2006/custom-properties"/>
</file>