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477A0" w14:textId="175E16BE" w:rsidR="00180D5F" w:rsidRPr="00180D5F" w:rsidRDefault="001B33E1" w:rsidP="00180D5F">
      <w:pPr>
        <w:pStyle w:val="PlainTex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Work Programme</w:t>
      </w:r>
      <w:r w:rsidR="0042281E">
        <w:rPr>
          <w:rFonts w:cs="Arial"/>
          <w:b/>
          <w:sz w:val="28"/>
          <w:szCs w:val="28"/>
        </w:rPr>
        <w:t xml:space="preserve"> </w:t>
      </w:r>
      <w:r w:rsidR="00043B8A">
        <w:rPr>
          <w:rFonts w:cs="Arial"/>
          <w:b/>
          <w:sz w:val="28"/>
          <w:szCs w:val="28"/>
        </w:rPr>
        <w:t xml:space="preserve">Priorities: </w:t>
      </w:r>
      <w:r w:rsidR="00676DEA">
        <w:rPr>
          <w:rFonts w:cs="Arial"/>
          <w:b/>
          <w:sz w:val="28"/>
          <w:szCs w:val="28"/>
        </w:rPr>
        <w:t xml:space="preserve">Workforce </w:t>
      </w:r>
      <w:r w:rsidR="00043B8A">
        <w:rPr>
          <w:rFonts w:cs="Arial"/>
          <w:b/>
          <w:sz w:val="28"/>
          <w:szCs w:val="28"/>
        </w:rPr>
        <w:t>Activity to Date</w:t>
      </w:r>
    </w:p>
    <w:p w14:paraId="3E12AB8A" w14:textId="77777777" w:rsidR="00043B8A" w:rsidRDefault="00043B8A" w:rsidP="00EE4178">
      <w:pPr>
        <w:pStyle w:val="PlainText"/>
        <w:ind w:left="360"/>
        <w:rPr>
          <w:rFonts w:cs="Arial"/>
          <w:szCs w:val="22"/>
        </w:rPr>
      </w:pPr>
    </w:p>
    <w:p w14:paraId="6D4BB3B5" w14:textId="77777777" w:rsidR="00043B8A" w:rsidRPr="00CF1C38" w:rsidRDefault="00043B8A" w:rsidP="00EE4178">
      <w:pPr>
        <w:pStyle w:val="PlainText"/>
        <w:ind w:left="360"/>
        <w:rPr>
          <w:rFonts w:cs="Arial"/>
          <w:szCs w:val="22"/>
        </w:rPr>
      </w:pP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2141"/>
        <w:gridCol w:w="7210"/>
      </w:tblGrid>
      <w:tr w:rsidR="00392BE2" w:rsidRPr="00CF1C38" w14:paraId="3C2369EA" w14:textId="77777777" w:rsidTr="00D026D5">
        <w:trPr>
          <w:tblHeader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1DFC1B" w14:textId="3F0620E0" w:rsidR="00392BE2" w:rsidRPr="00CF1C38" w:rsidRDefault="00392BE2" w:rsidP="00E6514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F1C38">
              <w:rPr>
                <w:rFonts w:ascii="Arial" w:hAnsi="Arial" w:cs="Arial"/>
                <w:b/>
                <w:sz w:val="22"/>
                <w:szCs w:val="22"/>
              </w:rPr>
              <w:t xml:space="preserve">Work Stream: Workforce </w:t>
            </w:r>
          </w:p>
          <w:p w14:paraId="745D58C5" w14:textId="77777777" w:rsidR="00392BE2" w:rsidRPr="00CF1C38" w:rsidRDefault="00392BE2" w:rsidP="00E651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2BE2" w:rsidRPr="00CF1C38" w14:paraId="3E21EF27" w14:textId="77777777" w:rsidTr="00D026D5">
        <w:trPr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A302A9" w14:textId="77777777" w:rsidR="00392BE2" w:rsidRPr="00CF1C38" w:rsidRDefault="00392BE2" w:rsidP="00E6514B">
            <w:pPr>
              <w:widowControl w:val="0"/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F1C38">
              <w:rPr>
                <w:rFonts w:ascii="Arial" w:hAnsi="Arial" w:cs="Arial"/>
                <w:b/>
                <w:sz w:val="22"/>
                <w:szCs w:val="22"/>
              </w:rPr>
              <w:t xml:space="preserve">Priority 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0D6680" w14:textId="6FA63553" w:rsidR="00392BE2" w:rsidRPr="00CF1C38" w:rsidRDefault="00392BE2" w:rsidP="00E6514B">
            <w:pPr>
              <w:widowControl w:val="0"/>
              <w:tabs>
                <w:tab w:val="left" w:pos="426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F1C38">
              <w:rPr>
                <w:rFonts w:ascii="Arial" w:hAnsi="Arial" w:cs="Arial"/>
                <w:b/>
                <w:sz w:val="22"/>
                <w:szCs w:val="22"/>
              </w:rPr>
              <w:t>Detail</w:t>
            </w:r>
            <w:r w:rsidRPr="00CF1C3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92BE2" w:rsidRPr="00CF1C38" w14:paraId="1D4CC13B" w14:textId="77777777" w:rsidTr="00D026D5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293C" w14:textId="3F50907A" w:rsidR="00DA08FF" w:rsidRPr="001728E9" w:rsidRDefault="00392BE2" w:rsidP="00DA08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28E9">
              <w:rPr>
                <w:rFonts w:ascii="Arial" w:hAnsi="Arial" w:cs="Arial"/>
                <w:b/>
                <w:sz w:val="22"/>
                <w:szCs w:val="22"/>
              </w:rPr>
              <w:t xml:space="preserve">Skills and </w:t>
            </w:r>
            <w:r w:rsidR="00DA08FF" w:rsidRPr="001728E9">
              <w:rPr>
                <w:rFonts w:ascii="Arial" w:hAnsi="Arial" w:cs="Arial"/>
                <w:b/>
                <w:sz w:val="22"/>
                <w:szCs w:val="22"/>
              </w:rPr>
              <w:t>Apprenticeships</w:t>
            </w:r>
          </w:p>
          <w:p w14:paraId="32BD4864" w14:textId="77777777" w:rsidR="00DA08FF" w:rsidRPr="001728E9" w:rsidRDefault="00DA08FF" w:rsidP="00DA08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FD88FD" w14:textId="020CD033" w:rsidR="00392BE2" w:rsidRPr="001728E9" w:rsidRDefault="00392BE2" w:rsidP="00DA08F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B313" w14:textId="2BC36096" w:rsidR="00F017EB" w:rsidRDefault="00F017EB" w:rsidP="00F017EB">
            <w:pPr>
              <w:pStyle w:val="ListParagraph"/>
              <w:numPr>
                <w:ilvl w:val="1"/>
                <w:numId w:val="17"/>
              </w:numPr>
              <w:ind w:left="269"/>
              <w:rPr>
                <w:rFonts w:ascii="Arial" w:hAnsi="Arial" w:cs="Arial"/>
                <w:sz w:val="22"/>
                <w:szCs w:val="22"/>
              </w:rPr>
            </w:pPr>
            <w:r w:rsidRPr="001728E9">
              <w:rPr>
                <w:rFonts w:ascii="Arial" w:hAnsi="Arial" w:cs="Arial"/>
                <w:sz w:val="22"/>
                <w:szCs w:val="22"/>
              </w:rPr>
              <w:t>Raised profile of new LGA Skills Champion with councils thr</w:t>
            </w:r>
            <w:r w:rsidR="001E2251">
              <w:rPr>
                <w:rFonts w:ascii="Arial" w:hAnsi="Arial" w:cs="Arial"/>
                <w:sz w:val="22"/>
                <w:szCs w:val="22"/>
              </w:rPr>
              <w:t>ough regional employer networks.</w:t>
            </w:r>
          </w:p>
          <w:p w14:paraId="48BF045F" w14:textId="77777777" w:rsidR="00D026D5" w:rsidRPr="001728E9" w:rsidRDefault="00D026D5" w:rsidP="00D026D5">
            <w:pPr>
              <w:pStyle w:val="ListParagraph"/>
              <w:ind w:left="269"/>
              <w:rPr>
                <w:rFonts w:ascii="Arial" w:hAnsi="Arial" w:cs="Arial"/>
                <w:sz w:val="22"/>
                <w:szCs w:val="22"/>
              </w:rPr>
            </w:pPr>
          </w:p>
          <w:p w14:paraId="08E2E20E" w14:textId="37D2D546" w:rsidR="00F017EB" w:rsidRDefault="001E2251" w:rsidP="00F017EB">
            <w:pPr>
              <w:pStyle w:val="ListParagraph"/>
              <w:numPr>
                <w:ilvl w:val="1"/>
                <w:numId w:val="17"/>
              </w:numPr>
              <w:ind w:left="2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Responded to a Government</w:t>
            </w:r>
            <w:r w:rsidR="00F017EB" w:rsidRPr="001728E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consultation on apprenticeships.</w:t>
            </w:r>
          </w:p>
          <w:p w14:paraId="60983425" w14:textId="63029519" w:rsidR="00D026D5" w:rsidRPr="00D026D5" w:rsidRDefault="00D026D5" w:rsidP="00D026D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7B7B24F" w14:textId="09783109" w:rsidR="00D026D5" w:rsidRDefault="00F017EB" w:rsidP="00D026D5">
            <w:pPr>
              <w:pStyle w:val="ListParagraph"/>
              <w:numPr>
                <w:ilvl w:val="1"/>
                <w:numId w:val="17"/>
              </w:numPr>
              <w:ind w:left="269"/>
              <w:rPr>
                <w:rFonts w:ascii="Arial" w:hAnsi="Arial" w:cs="Arial"/>
                <w:sz w:val="22"/>
                <w:szCs w:val="22"/>
              </w:rPr>
            </w:pPr>
            <w:r w:rsidRPr="001728E9">
              <w:rPr>
                <w:rFonts w:ascii="Arial" w:hAnsi="Arial" w:cs="Arial"/>
                <w:sz w:val="22"/>
                <w:szCs w:val="22"/>
              </w:rPr>
              <w:t>Surveyed councils</w:t>
            </w:r>
            <w:r w:rsidR="001E2251">
              <w:rPr>
                <w:rFonts w:ascii="Arial" w:hAnsi="Arial" w:cs="Arial"/>
                <w:sz w:val="22"/>
                <w:szCs w:val="22"/>
              </w:rPr>
              <w:t xml:space="preserve"> in early 2016</w:t>
            </w:r>
            <w:r w:rsidRPr="001728E9">
              <w:rPr>
                <w:rFonts w:ascii="Arial" w:hAnsi="Arial" w:cs="Arial"/>
                <w:sz w:val="22"/>
                <w:szCs w:val="22"/>
              </w:rPr>
              <w:t xml:space="preserve"> on th</w:t>
            </w:r>
            <w:r w:rsidR="001E2251">
              <w:rPr>
                <w:rFonts w:ascii="Arial" w:hAnsi="Arial" w:cs="Arial"/>
                <w:sz w:val="22"/>
                <w:szCs w:val="22"/>
              </w:rPr>
              <w:t>eir skill priorities.</w:t>
            </w:r>
          </w:p>
          <w:p w14:paraId="4AE33515" w14:textId="77777777" w:rsidR="00D026D5" w:rsidRPr="00D026D5" w:rsidRDefault="00D026D5" w:rsidP="00D026D5">
            <w:pPr>
              <w:pStyle w:val="ListParagraph"/>
              <w:ind w:left="269"/>
              <w:rPr>
                <w:rFonts w:ascii="Arial" w:hAnsi="Arial" w:cs="Arial"/>
                <w:sz w:val="22"/>
                <w:szCs w:val="22"/>
              </w:rPr>
            </w:pPr>
          </w:p>
          <w:p w14:paraId="4E4C2344" w14:textId="77777777" w:rsidR="00392BE2" w:rsidRDefault="00F017EB" w:rsidP="000B49CD">
            <w:pPr>
              <w:pStyle w:val="ListParagraph"/>
              <w:numPr>
                <w:ilvl w:val="1"/>
                <w:numId w:val="17"/>
              </w:numPr>
              <w:ind w:left="269"/>
              <w:rPr>
                <w:rFonts w:ascii="Arial" w:hAnsi="Arial" w:cs="Arial"/>
                <w:sz w:val="22"/>
                <w:szCs w:val="22"/>
              </w:rPr>
            </w:pPr>
            <w:r w:rsidRPr="001728E9">
              <w:rPr>
                <w:rFonts w:ascii="Arial" w:hAnsi="Arial" w:cs="Arial"/>
                <w:sz w:val="22"/>
                <w:szCs w:val="22"/>
              </w:rPr>
              <w:t>Agreed actions for 2016 on raising awareness with members on L</w:t>
            </w:r>
            <w:r w:rsidR="000B49CD">
              <w:rPr>
                <w:rFonts w:ascii="Arial" w:hAnsi="Arial" w:cs="Arial"/>
                <w:sz w:val="22"/>
                <w:szCs w:val="22"/>
              </w:rPr>
              <w:t xml:space="preserve">ocal </w:t>
            </w:r>
            <w:r w:rsidRPr="001728E9">
              <w:rPr>
                <w:rFonts w:ascii="Arial" w:hAnsi="Arial" w:cs="Arial"/>
                <w:sz w:val="22"/>
                <w:szCs w:val="22"/>
              </w:rPr>
              <w:t>G</w:t>
            </w:r>
            <w:r w:rsidR="000B49CD">
              <w:rPr>
                <w:rFonts w:ascii="Arial" w:hAnsi="Arial" w:cs="Arial"/>
                <w:sz w:val="22"/>
                <w:szCs w:val="22"/>
              </w:rPr>
              <w:t xml:space="preserve">overnment </w:t>
            </w:r>
            <w:r w:rsidRPr="001728E9">
              <w:rPr>
                <w:rFonts w:ascii="Arial" w:hAnsi="Arial" w:cs="Arial"/>
                <w:sz w:val="22"/>
                <w:szCs w:val="22"/>
              </w:rPr>
              <w:t>workforce skills issues</w:t>
            </w:r>
            <w:r w:rsidR="000B49C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47D12F3" w14:textId="536250E9" w:rsidR="00D026D5" w:rsidRPr="00D026D5" w:rsidRDefault="00D026D5" w:rsidP="00D026D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2BE2" w:rsidRPr="00CF1C38" w14:paraId="4889D77B" w14:textId="77777777" w:rsidTr="00D026D5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7CEA" w14:textId="15453DE6" w:rsidR="00392BE2" w:rsidRPr="001728E9" w:rsidRDefault="00392BE2" w:rsidP="00E651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28E9">
              <w:rPr>
                <w:rFonts w:ascii="Arial" w:hAnsi="Arial" w:cs="Arial"/>
                <w:b/>
                <w:sz w:val="22"/>
                <w:szCs w:val="22"/>
              </w:rPr>
              <w:t>Pensions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ECBF" w14:textId="65F32CAC" w:rsidR="00576414" w:rsidRDefault="000B49CD" w:rsidP="00DF49E7">
            <w:pPr>
              <w:pStyle w:val="ListParagraph"/>
              <w:numPr>
                <w:ilvl w:val="1"/>
                <w:numId w:val="17"/>
              </w:numPr>
              <w:ind w:left="2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576414" w:rsidRPr="001728E9">
              <w:rPr>
                <w:rFonts w:ascii="Arial" w:hAnsi="Arial" w:cs="Arial"/>
                <w:sz w:val="22"/>
                <w:szCs w:val="22"/>
              </w:rPr>
              <w:t>ssisting government in interpreting and putting into context the 8</w:t>
            </w:r>
            <w:r>
              <w:rPr>
                <w:rFonts w:ascii="Arial" w:hAnsi="Arial" w:cs="Arial"/>
                <w:sz w:val="22"/>
                <w:szCs w:val="22"/>
              </w:rPr>
              <w:t xml:space="preserve"> Local Government Pension Scheme (</w:t>
            </w:r>
            <w:r w:rsidR="00576414" w:rsidRPr="001728E9">
              <w:rPr>
                <w:rFonts w:ascii="Arial" w:hAnsi="Arial" w:cs="Arial"/>
                <w:sz w:val="22"/>
                <w:szCs w:val="22"/>
              </w:rPr>
              <w:t>LGPS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576414" w:rsidRPr="001728E9">
              <w:rPr>
                <w:rFonts w:ascii="Arial" w:hAnsi="Arial" w:cs="Arial"/>
                <w:sz w:val="22"/>
                <w:szCs w:val="22"/>
              </w:rPr>
              <w:t xml:space="preserve"> asset pooling proposals </w:t>
            </w:r>
            <w:r>
              <w:rPr>
                <w:rFonts w:ascii="Arial" w:hAnsi="Arial" w:cs="Arial"/>
                <w:sz w:val="22"/>
                <w:szCs w:val="22"/>
              </w:rPr>
              <w:t>submitted.</w:t>
            </w:r>
          </w:p>
          <w:p w14:paraId="7C0BF799" w14:textId="77777777" w:rsidR="00D026D5" w:rsidRPr="001728E9" w:rsidRDefault="00D026D5" w:rsidP="00D026D5">
            <w:pPr>
              <w:pStyle w:val="ListParagraph"/>
              <w:ind w:left="269"/>
              <w:rPr>
                <w:rFonts w:ascii="Arial" w:hAnsi="Arial" w:cs="Arial"/>
                <w:sz w:val="22"/>
                <w:szCs w:val="22"/>
              </w:rPr>
            </w:pPr>
          </w:p>
          <w:p w14:paraId="17041D7B" w14:textId="77777777" w:rsidR="00D026D5" w:rsidRDefault="00435312" w:rsidP="00DF49E7">
            <w:pPr>
              <w:pStyle w:val="ListParagraph"/>
              <w:numPr>
                <w:ilvl w:val="1"/>
                <w:numId w:val="17"/>
              </w:numPr>
              <w:ind w:left="2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</w:t>
            </w:r>
            <w:r w:rsidR="00576414" w:rsidRPr="001728E9">
              <w:rPr>
                <w:rFonts w:ascii="Arial" w:hAnsi="Arial" w:cs="Arial"/>
                <w:sz w:val="22"/>
                <w:szCs w:val="22"/>
              </w:rPr>
              <w:t xml:space="preserve"> to provide LGPS funds with a route to obtain clarification of requirements on pooling and access to government officials</w:t>
            </w:r>
            <w:r w:rsidR="00065B9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8703E85" w14:textId="13EBA70B" w:rsidR="00576414" w:rsidRPr="00D026D5" w:rsidRDefault="00576414" w:rsidP="00D026D5">
            <w:pPr>
              <w:rPr>
                <w:rFonts w:ascii="Arial" w:hAnsi="Arial" w:cs="Arial"/>
                <w:sz w:val="22"/>
                <w:szCs w:val="22"/>
              </w:rPr>
            </w:pPr>
            <w:r w:rsidRPr="00D026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51B33B4" w14:textId="27D17BEA" w:rsidR="00576414" w:rsidRDefault="00065B95" w:rsidP="00DF49E7">
            <w:pPr>
              <w:pStyle w:val="ListParagraph"/>
              <w:numPr>
                <w:ilvl w:val="1"/>
                <w:numId w:val="17"/>
              </w:numPr>
              <w:ind w:left="2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576414" w:rsidRPr="001728E9">
              <w:rPr>
                <w:rFonts w:ascii="Arial" w:hAnsi="Arial" w:cs="Arial"/>
                <w:sz w:val="22"/>
                <w:szCs w:val="22"/>
              </w:rPr>
              <w:t xml:space="preserve">iaising with DCLG and </w:t>
            </w:r>
            <w:r w:rsidR="00707263" w:rsidRPr="00707263">
              <w:rPr>
                <w:rFonts w:ascii="Arial" w:hAnsi="Arial" w:cs="Arial"/>
                <w:sz w:val="22"/>
                <w:szCs w:val="22"/>
              </w:rPr>
              <w:t>Financial Conduct Authority</w:t>
            </w:r>
            <w:r w:rsidR="00707263" w:rsidRPr="001728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7263">
              <w:rPr>
                <w:rFonts w:ascii="Arial" w:hAnsi="Arial" w:cs="Arial"/>
                <w:sz w:val="22"/>
                <w:szCs w:val="22"/>
              </w:rPr>
              <w:t>(</w:t>
            </w:r>
            <w:r w:rsidR="00576414" w:rsidRPr="001728E9">
              <w:rPr>
                <w:rFonts w:ascii="Arial" w:hAnsi="Arial" w:cs="Arial"/>
                <w:sz w:val="22"/>
                <w:szCs w:val="22"/>
              </w:rPr>
              <w:t>FCA</w:t>
            </w:r>
            <w:r w:rsidR="00707263">
              <w:rPr>
                <w:rFonts w:ascii="Arial" w:hAnsi="Arial" w:cs="Arial"/>
                <w:sz w:val="22"/>
                <w:szCs w:val="22"/>
              </w:rPr>
              <w:t>)</w:t>
            </w:r>
            <w:r w:rsidR="00576414" w:rsidRPr="001728E9">
              <w:rPr>
                <w:rFonts w:ascii="Arial" w:hAnsi="Arial" w:cs="Arial"/>
                <w:sz w:val="22"/>
                <w:szCs w:val="22"/>
              </w:rPr>
              <w:t xml:space="preserve"> to ensure that the retail status of Local Authorities under MiFID II from 2018 will be able to be effectively managed within the pools</w:t>
            </w:r>
            <w:r w:rsidR="004353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A2432E" w14:textId="2905F8D4" w:rsidR="00D026D5" w:rsidRPr="00D026D5" w:rsidRDefault="00D026D5" w:rsidP="00D026D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F9B73DC" w14:textId="3E41FA95" w:rsidR="00576414" w:rsidRDefault="00576414" w:rsidP="00DF49E7">
            <w:pPr>
              <w:pStyle w:val="ListParagraph"/>
              <w:numPr>
                <w:ilvl w:val="1"/>
                <w:numId w:val="17"/>
              </w:numPr>
              <w:ind w:left="269"/>
              <w:rPr>
                <w:rFonts w:ascii="Arial" w:hAnsi="Arial" w:cs="Arial"/>
                <w:sz w:val="22"/>
                <w:szCs w:val="22"/>
              </w:rPr>
            </w:pPr>
            <w:r w:rsidRPr="001728E9">
              <w:rPr>
                <w:rFonts w:ascii="Arial" w:hAnsi="Arial" w:cs="Arial"/>
                <w:sz w:val="22"/>
                <w:szCs w:val="22"/>
              </w:rPr>
              <w:t>Will be providing support, but not a preferred solution, for pools working together on a na</w:t>
            </w:r>
            <w:r w:rsidR="00435312">
              <w:rPr>
                <w:rFonts w:ascii="Arial" w:hAnsi="Arial" w:cs="Arial"/>
                <w:sz w:val="22"/>
                <w:szCs w:val="22"/>
              </w:rPr>
              <w:t>tional infrastructure framework.</w:t>
            </w:r>
          </w:p>
          <w:p w14:paraId="114311C1" w14:textId="155238A5" w:rsidR="00D026D5" w:rsidRPr="00D026D5" w:rsidRDefault="00D026D5" w:rsidP="00D026D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D6A4EFB" w14:textId="77777777" w:rsidR="00392BE2" w:rsidRDefault="00576414" w:rsidP="00435312">
            <w:pPr>
              <w:pStyle w:val="ListParagraph"/>
              <w:numPr>
                <w:ilvl w:val="1"/>
                <w:numId w:val="17"/>
              </w:numPr>
              <w:ind w:left="269"/>
              <w:rPr>
                <w:rFonts w:ascii="Arial" w:hAnsi="Arial" w:cs="Arial"/>
                <w:sz w:val="22"/>
                <w:szCs w:val="22"/>
              </w:rPr>
            </w:pPr>
            <w:r w:rsidRPr="001728E9">
              <w:rPr>
                <w:rFonts w:ascii="Arial" w:hAnsi="Arial" w:cs="Arial"/>
                <w:sz w:val="22"/>
                <w:szCs w:val="22"/>
              </w:rPr>
              <w:t>Continue to influence government in order to manage expectations for the July proposals to meet the reality of what can be a</w:t>
            </w:r>
            <w:r w:rsidR="00435312">
              <w:rPr>
                <w:rFonts w:ascii="Arial" w:hAnsi="Arial" w:cs="Arial"/>
                <w:sz w:val="22"/>
                <w:szCs w:val="22"/>
              </w:rPr>
              <w:t>chieved within committee cycles.</w:t>
            </w:r>
          </w:p>
          <w:p w14:paraId="24ED8EBE" w14:textId="55576FE5" w:rsidR="00D026D5" w:rsidRPr="00D026D5" w:rsidRDefault="00D026D5" w:rsidP="00D026D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2BE2" w:rsidRPr="00CF1C38" w14:paraId="30089BBF" w14:textId="77777777" w:rsidTr="00D026D5">
        <w:trPr>
          <w:trHeight w:val="34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94C3" w14:textId="1C645EBF" w:rsidR="00392BE2" w:rsidRPr="001728E9" w:rsidRDefault="00392BE2" w:rsidP="00E651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28E9">
              <w:rPr>
                <w:rFonts w:ascii="Arial" w:hAnsi="Arial" w:cs="Arial"/>
                <w:b/>
                <w:sz w:val="22"/>
                <w:szCs w:val="22"/>
              </w:rPr>
              <w:t>The new National Living Wage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26FF" w14:textId="43F68221" w:rsidR="00765BDF" w:rsidRDefault="00765BDF" w:rsidP="00765BDF">
            <w:pPr>
              <w:pStyle w:val="ListParagraph"/>
              <w:numPr>
                <w:ilvl w:val="1"/>
                <w:numId w:val="17"/>
              </w:numPr>
              <w:ind w:left="269"/>
              <w:rPr>
                <w:rFonts w:ascii="Arial" w:hAnsi="Arial" w:cs="Arial"/>
                <w:sz w:val="22"/>
                <w:szCs w:val="22"/>
              </w:rPr>
            </w:pPr>
            <w:r w:rsidRPr="001728E9">
              <w:rPr>
                <w:rFonts w:ascii="Arial" w:hAnsi="Arial" w:cs="Arial"/>
                <w:sz w:val="22"/>
                <w:szCs w:val="22"/>
              </w:rPr>
              <w:t>Currently seeking responses from suppliers to carry out the initial research on the impact of the Living Wage.  This will involve an analysis of existing research and interviews with a small sample of councils and other stakeholders.  Later in the year we will arrange a roundtable event to consider both the outcome of the research and wider implications of the</w:t>
            </w:r>
            <w:r w:rsidR="00E93827">
              <w:rPr>
                <w:rFonts w:ascii="Arial" w:hAnsi="Arial" w:cs="Arial"/>
                <w:sz w:val="22"/>
                <w:szCs w:val="22"/>
              </w:rPr>
              <w:t xml:space="preserve"> National Living Wage</w:t>
            </w:r>
            <w:r w:rsidRPr="001728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3827">
              <w:rPr>
                <w:rFonts w:ascii="Arial" w:hAnsi="Arial" w:cs="Arial"/>
                <w:sz w:val="22"/>
                <w:szCs w:val="22"/>
              </w:rPr>
              <w:t>(</w:t>
            </w:r>
            <w:r w:rsidRPr="001728E9">
              <w:rPr>
                <w:rFonts w:ascii="Arial" w:hAnsi="Arial" w:cs="Arial"/>
                <w:sz w:val="22"/>
                <w:szCs w:val="22"/>
              </w:rPr>
              <w:t>NLW</w:t>
            </w:r>
            <w:r w:rsidR="00E93827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14:paraId="6F31A46D" w14:textId="77777777" w:rsidR="00D026D5" w:rsidRPr="001728E9" w:rsidRDefault="00D026D5" w:rsidP="00D026D5">
            <w:pPr>
              <w:pStyle w:val="ListParagraph"/>
              <w:ind w:left="269"/>
              <w:rPr>
                <w:rFonts w:ascii="Arial" w:hAnsi="Arial" w:cs="Arial"/>
                <w:sz w:val="22"/>
                <w:szCs w:val="22"/>
              </w:rPr>
            </w:pPr>
          </w:p>
          <w:p w14:paraId="5DCD8232" w14:textId="2DECE13A" w:rsidR="00392BE2" w:rsidRPr="001728E9" w:rsidRDefault="00765BDF" w:rsidP="00F3072A">
            <w:pPr>
              <w:pStyle w:val="ListParagraph"/>
              <w:numPr>
                <w:ilvl w:val="1"/>
                <w:numId w:val="17"/>
              </w:numPr>
              <w:ind w:left="269"/>
              <w:rPr>
                <w:rFonts w:ascii="Arial" w:hAnsi="Arial" w:cs="Arial"/>
                <w:sz w:val="22"/>
                <w:szCs w:val="22"/>
              </w:rPr>
            </w:pPr>
            <w:r w:rsidRPr="001728E9">
              <w:rPr>
                <w:rFonts w:ascii="Arial" w:hAnsi="Arial" w:cs="Arial"/>
                <w:sz w:val="22"/>
                <w:szCs w:val="22"/>
              </w:rPr>
              <w:t>This work is a prelude to developing options for a new pay spine that meets the challenge of the likely level of the NLW by 2020</w:t>
            </w:r>
            <w:r w:rsidR="00F3072A">
              <w:rPr>
                <w:rFonts w:ascii="Arial" w:hAnsi="Arial" w:cs="Arial"/>
                <w:sz w:val="22"/>
                <w:szCs w:val="22"/>
              </w:rPr>
              <w:t>,</w:t>
            </w:r>
            <w:r w:rsidRPr="001728E9">
              <w:rPr>
                <w:rFonts w:ascii="Arial" w:hAnsi="Arial" w:cs="Arial"/>
                <w:sz w:val="22"/>
                <w:szCs w:val="22"/>
              </w:rPr>
              <w:t xml:space="preserve"> while remaining affordable. The national employers made a two year pay offer to the unions that sought to eat-in to the significant increases</w:t>
            </w:r>
            <w:r w:rsidR="00D026D5">
              <w:rPr>
                <w:rFonts w:ascii="Arial" w:hAnsi="Arial" w:cs="Arial"/>
                <w:sz w:val="22"/>
                <w:szCs w:val="22"/>
              </w:rPr>
              <w:t xml:space="preserve"> that need to be made by then. </w:t>
            </w:r>
            <w:r w:rsidRPr="001728E9">
              <w:rPr>
                <w:rFonts w:ascii="Arial" w:hAnsi="Arial" w:cs="Arial"/>
                <w:sz w:val="22"/>
                <w:szCs w:val="22"/>
              </w:rPr>
              <w:t>The aim of the new pay spine will be to do this and create a logical pay spine at the same time.</w:t>
            </w:r>
          </w:p>
        </w:tc>
      </w:tr>
      <w:tr w:rsidR="00392BE2" w:rsidRPr="00CF1C38" w14:paraId="3F7C6AED" w14:textId="77777777" w:rsidTr="00D026D5">
        <w:trPr>
          <w:trHeight w:val="186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7EA8" w14:textId="09D44A8E" w:rsidR="00392BE2" w:rsidRPr="001728E9" w:rsidRDefault="00392BE2" w:rsidP="00E651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28E9">
              <w:rPr>
                <w:rFonts w:ascii="Arial" w:hAnsi="Arial" w:cs="Arial"/>
                <w:b/>
                <w:sz w:val="22"/>
                <w:szCs w:val="22"/>
              </w:rPr>
              <w:lastRenderedPageBreak/>
              <w:t>Employment law/TU reform, including the referendum on Europe and the impact on employment rights</w:t>
            </w:r>
            <w:r w:rsidR="00B05C59" w:rsidRPr="001728E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5036" w14:textId="77777777" w:rsidR="008F7628" w:rsidRDefault="008F7628" w:rsidP="008F7628">
            <w:pPr>
              <w:pStyle w:val="ListParagraph"/>
              <w:numPr>
                <w:ilvl w:val="1"/>
                <w:numId w:val="17"/>
              </w:numPr>
              <w:ind w:left="2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765BDF" w:rsidRPr="001728E9">
              <w:rPr>
                <w:rFonts w:ascii="Arial" w:hAnsi="Arial" w:cs="Arial"/>
                <w:sz w:val="22"/>
                <w:szCs w:val="22"/>
              </w:rPr>
              <w:t xml:space="preserve">esponded to a range government consultations (including those on the Trade Union Bill, the capping of exit payments for public </w:t>
            </w:r>
            <w:r>
              <w:rPr>
                <w:rFonts w:ascii="Arial" w:hAnsi="Arial" w:cs="Arial"/>
                <w:sz w:val="22"/>
                <w:szCs w:val="22"/>
              </w:rPr>
              <w:t>servants and open recruitment).</w:t>
            </w:r>
          </w:p>
          <w:p w14:paraId="02CD95D0" w14:textId="77777777" w:rsidR="00D026D5" w:rsidRDefault="00D026D5" w:rsidP="00D026D5">
            <w:pPr>
              <w:pStyle w:val="ListParagraph"/>
              <w:ind w:left="269"/>
              <w:rPr>
                <w:rFonts w:ascii="Arial" w:hAnsi="Arial" w:cs="Arial"/>
                <w:sz w:val="22"/>
                <w:szCs w:val="22"/>
              </w:rPr>
            </w:pPr>
          </w:p>
          <w:p w14:paraId="58408D5F" w14:textId="119BB4A5" w:rsidR="00D026D5" w:rsidRPr="00D026D5" w:rsidRDefault="00765BDF" w:rsidP="00D026D5">
            <w:pPr>
              <w:pStyle w:val="ListParagraph"/>
              <w:numPr>
                <w:ilvl w:val="1"/>
                <w:numId w:val="17"/>
              </w:numPr>
              <w:ind w:left="269"/>
              <w:rPr>
                <w:rFonts w:ascii="Arial" w:hAnsi="Arial" w:cs="Arial"/>
                <w:sz w:val="22"/>
                <w:szCs w:val="22"/>
              </w:rPr>
            </w:pPr>
            <w:r w:rsidRPr="001728E9">
              <w:rPr>
                <w:rFonts w:ascii="Arial" w:hAnsi="Arial" w:cs="Arial"/>
                <w:sz w:val="22"/>
                <w:szCs w:val="22"/>
              </w:rPr>
              <w:t>The negotiated proposals for changing Britain’s relationship with the EU do not in themselves have significant employment law impacts.  Clearly a vote to leave would raise fresh questions about the impact on the UK’s employment law framework and we will look at this, if the situation arises</w:t>
            </w:r>
            <w:r w:rsidR="008F762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92BE2" w:rsidRPr="00CF1C38" w14:paraId="3F176C09" w14:textId="77777777" w:rsidTr="00D026D5">
        <w:trPr>
          <w:trHeight w:val="28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F6F6" w14:textId="25F19586" w:rsidR="00392BE2" w:rsidRPr="001728E9" w:rsidRDefault="00392BE2" w:rsidP="00E651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28E9">
              <w:rPr>
                <w:rFonts w:ascii="Arial" w:hAnsi="Arial" w:cs="Arial"/>
                <w:b/>
                <w:sz w:val="22"/>
                <w:szCs w:val="22"/>
              </w:rPr>
              <w:t>The integration of the health and social care workforce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BB3C" w14:textId="2BAFE037" w:rsidR="00283DAE" w:rsidRDefault="00283DAE" w:rsidP="00283DA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1728E9">
              <w:rPr>
                <w:rFonts w:ascii="Arial" w:hAnsi="Arial" w:cs="Arial"/>
                <w:sz w:val="22"/>
                <w:szCs w:val="22"/>
              </w:rPr>
              <w:t>Attending a number of</w:t>
            </w:r>
            <w:r w:rsidR="007D0413">
              <w:rPr>
                <w:rFonts w:ascii="Arial" w:hAnsi="Arial" w:cs="Arial"/>
                <w:sz w:val="22"/>
                <w:szCs w:val="22"/>
              </w:rPr>
              <w:t xml:space="preserve"> Department of Health (</w:t>
            </w:r>
            <w:r w:rsidRPr="001728E9">
              <w:rPr>
                <w:rFonts w:ascii="Arial" w:hAnsi="Arial" w:cs="Arial"/>
                <w:sz w:val="22"/>
                <w:szCs w:val="22"/>
              </w:rPr>
              <w:t>DH</w:t>
            </w:r>
            <w:r w:rsidR="007D0413">
              <w:rPr>
                <w:rFonts w:ascii="Arial" w:hAnsi="Arial" w:cs="Arial"/>
                <w:sz w:val="22"/>
                <w:szCs w:val="22"/>
              </w:rPr>
              <w:t>)</w:t>
            </w:r>
            <w:r w:rsidRPr="001728E9">
              <w:rPr>
                <w:rFonts w:ascii="Arial" w:hAnsi="Arial" w:cs="Arial"/>
                <w:sz w:val="22"/>
                <w:szCs w:val="22"/>
              </w:rPr>
              <w:t xml:space="preserve"> and NHS strategic workforce development forums to ensure outputs have effective focus on the local government context</w:t>
            </w:r>
            <w:r w:rsidR="007D041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41F247C" w14:textId="77777777" w:rsidR="00D026D5" w:rsidRPr="001728E9" w:rsidRDefault="00D026D5" w:rsidP="00D026D5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FC5F4CA" w14:textId="15396CCF" w:rsidR="00283DAE" w:rsidRDefault="00283DAE" w:rsidP="00283DA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1728E9">
              <w:rPr>
                <w:rFonts w:ascii="Arial" w:hAnsi="Arial" w:cs="Arial"/>
                <w:sz w:val="22"/>
                <w:szCs w:val="22"/>
              </w:rPr>
              <w:t>Preparing for launch of our “return to social work” resource aimed at linking registered social workers who are not practicing with current vacancies</w:t>
            </w:r>
            <w:r w:rsidR="007D041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4C0F4DF" w14:textId="67EF514A" w:rsidR="00D026D5" w:rsidRPr="00D026D5" w:rsidRDefault="00D026D5" w:rsidP="00D026D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84CDD4D" w14:textId="4277D24A" w:rsidR="00283DAE" w:rsidRDefault="00283DAE" w:rsidP="007D041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1728E9">
              <w:rPr>
                <w:rFonts w:ascii="Arial" w:hAnsi="Arial" w:cs="Arial"/>
                <w:sz w:val="22"/>
                <w:szCs w:val="22"/>
              </w:rPr>
              <w:t>Funding the second phase of development of an apprenticeship route for family support workers in partnership with</w:t>
            </w:r>
            <w:r w:rsidR="007D0413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7D0413" w:rsidRPr="007D0413">
              <w:rPr>
                <w:rFonts w:ascii="Arial" w:hAnsi="Arial" w:cs="Arial"/>
                <w:sz w:val="22"/>
                <w:szCs w:val="22"/>
              </w:rPr>
              <w:t xml:space="preserve"> Association of Directors of </w:t>
            </w:r>
            <w:proofErr w:type="spellStart"/>
            <w:r w:rsidR="007D0413" w:rsidRPr="007D0413">
              <w:rPr>
                <w:rFonts w:ascii="Arial" w:hAnsi="Arial" w:cs="Arial"/>
                <w:sz w:val="22"/>
                <w:szCs w:val="22"/>
              </w:rPr>
              <w:t>Childrens</w:t>
            </w:r>
            <w:proofErr w:type="spellEnd"/>
            <w:r w:rsidR="007D0413" w:rsidRPr="007D0413">
              <w:rPr>
                <w:rFonts w:ascii="Arial" w:hAnsi="Arial" w:cs="Arial"/>
                <w:sz w:val="22"/>
                <w:szCs w:val="22"/>
              </w:rPr>
              <w:t xml:space="preserve"> Services</w:t>
            </w:r>
            <w:r w:rsidR="007D04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0413" w:rsidRPr="007D0413">
              <w:rPr>
                <w:rFonts w:ascii="Arial" w:hAnsi="Arial" w:cs="Arial"/>
                <w:sz w:val="22"/>
                <w:szCs w:val="22"/>
              </w:rPr>
              <w:t>(</w:t>
            </w:r>
            <w:r w:rsidRPr="007D0413">
              <w:rPr>
                <w:rFonts w:ascii="Arial" w:hAnsi="Arial" w:cs="Arial"/>
                <w:sz w:val="22"/>
                <w:szCs w:val="22"/>
              </w:rPr>
              <w:t>ADCS</w:t>
            </w:r>
            <w:r w:rsidR="007D0413" w:rsidRPr="007D0413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621AF208" w14:textId="0F3569B6" w:rsidR="00D026D5" w:rsidRPr="00D026D5" w:rsidRDefault="00D026D5" w:rsidP="00D026D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7D28673" w14:textId="09CB2F09" w:rsidR="00283DAE" w:rsidRDefault="00283DAE" w:rsidP="00283DA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1728E9">
              <w:rPr>
                <w:rFonts w:ascii="Arial" w:hAnsi="Arial" w:cs="Arial"/>
                <w:sz w:val="22"/>
                <w:szCs w:val="22"/>
              </w:rPr>
              <w:t>Developed benchmark role profiles for new social care roles through the Job Evaluation Technical Working Group with the trade unions</w:t>
            </w:r>
            <w:r w:rsidR="007D041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A57E090" w14:textId="77777777" w:rsidR="00D026D5" w:rsidRPr="001728E9" w:rsidRDefault="00D026D5" w:rsidP="00D026D5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427CBB73" w14:textId="5D000995" w:rsidR="00283DAE" w:rsidRDefault="00283DAE" w:rsidP="00283DA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1728E9">
              <w:rPr>
                <w:rFonts w:ascii="Arial" w:hAnsi="Arial" w:cs="Arial"/>
                <w:sz w:val="22"/>
                <w:szCs w:val="22"/>
              </w:rPr>
              <w:t>Published a guidance note with unions on use of market pay supplements which can be important in middle-upper ranks of social work/care specialist roles</w:t>
            </w:r>
            <w:r w:rsidR="007D041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A94A81" w14:textId="4C7D1113" w:rsidR="00D026D5" w:rsidRPr="00D026D5" w:rsidRDefault="00D026D5" w:rsidP="00D026D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630042B" w14:textId="423EC9E5" w:rsidR="00283DAE" w:rsidRDefault="007D0413" w:rsidP="00283DA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83DAE" w:rsidRPr="001728E9">
              <w:rPr>
                <w:rFonts w:ascii="Arial" w:hAnsi="Arial" w:cs="Arial"/>
                <w:sz w:val="22"/>
                <w:szCs w:val="22"/>
              </w:rPr>
              <w:t>aking part in a series of workshops aimed at improving approaches to shared workforce planning and behavioural change across organisations that are integrating services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D3C05B7" w14:textId="5F10CAE1" w:rsidR="00D026D5" w:rsidRPr="00D026D5" w:rsidRDefault="00D026D5" w:rsidP="00D026D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B1CB3D9" w14:textId="77777777" w:rsidR="00283DAE" w:rsidRPr="001728E9" w:rsidRDefault="00283DAE" w:rsidP="00283DA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1728E9">
              <w:rPr>
                <w:rFonts w:ascii="Arial" w:hAnsi="Arial" w:cs="Arial"/>
                <w:sz w:val="22"/>
                <w:szCs w:val="22"/>
              </w:rPr>
              <w:t>Other projects at an advanced stage or about to commence include:</w:t>
            </w:r>
          </w:p>
          <w:p w14:paraId="572C5795" w14:textId="2B8F8FE5" w:rsidR="00283DAE" w:rsidRPr="001728E9" w:rsidRDefault="00283DAE" w:rsidP="00283DAE">
            <w:pPr>
              <w:pStyle w:val="ListParagraph"/>
              <w:numPr>
                <w:ilvl w:val="1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1728E9">
              <w:rPr>
                <w:rFonts w:ascii="Arial" w:hAnsi="Arial" w:cs="Arial"/>
                <w:sz w:val="22"/>
                <w:szCs w:val="22"/>
              </w:rPr>
              <w:t>Producing a podcast focusing on the key workforce challenges faced by some pioneer sites for a wider HR audience</w:t>
            </w:r>
            <w:r w:rsidR="002E1A2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28E178" w14:textId="45F08CB2" w:rsidR="00283DAE" w:rsidRPr="001728E9" w:rsidRDefault="00283DAE" w:rsidP="00283DAE">
            <w:pPr>
              <w:pStyle w:val="ListParagraph"/>
              <w:numPr>
                <w:ilvl w:val="1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1728E9">
              <w:rPr>
                <w:rFonts w:ascii="Arial" w:hAnsi="Arial" w:cs="Arial"/>
                <w:sz w:val="22"/>
                <w:szCs w:val="22"/>
              </w:rPr>
              <w:t>Helping to develop a programme of case studies on workforce issues arising from the Better Care Fund</w:t>
            </w:r>
            <w:r w:rsidR="002E1A2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A5E997A" w14:textId="6C9425D7" w:rsidR="00283DAE" w:rsidRPr="001728E9" w:rsidRDefault="00283DAE" w:rsidP="00283DAE">
            <w:pPr>
              <w:pStyle w:val="ListParagraph"/>
              <w:numPr>
                <w:ilvl w:val="1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1728E9">
              <w:rPr>
                <w:rFonts w:ascii="Arial" w:hAnsi="Arial" w:cs="Arial"/>
                <w:sz w:val="22"/>
                <w:szCs w:val="22"/>
              </w:rPr>
              <w:t>Assisting Skills for Care in development of a career framework for care commissioners</w:t>
            </w:r>
            <w:r w:rsidR="002E1A2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512D8E5" w14:textId="684F9148" w:rsidR="00392BE2" w:rsidRPr="00721F3F" w:rsidRDefault="00283DAE" w:rsidP="00721F3F">
            <w:pPr>
              <w:pStyle w:val="ListParagraph"/>
              <w:numPr>
                <w:ilvl w:val="1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1728E9">
              <w:rPr>
                <w:rFonts w:ascii="Arial" w:hAnsi="Arial" w:cs="Arial"/>
                <w:sz w:val="22"/>
                <w:szCs w:val="22"/>
              </w:rPr>
              <w:t>Working with Health Education England on a competency framework for those who assist people in managing their own care</w:t>
            </w:r>
            <w:r w:rsidR="002E1A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0F015CB3" w14:textId="77777777" w:rsidR="00C031E8" w:rsidRPr="00CF1C38" w:rsidRDefault="00C031E8" w:rsidP="00CF752D">
      <w:pPr>
        <w:pStyle w:val="PlainText"/>
        <w:rPr>
          <w:rFonts w:cs="Arial"/>
          <w:szCs w:val="22"/>
        </w:rPr>
      </w:pPr>
    </w:p>
    <w:sectPr w:rsidR="00C031E8" w:rsidRPr="00CF1C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4CA73" w14:textId="77777777" w:rsidR="00A15F9F" w:rsidRDefault="00A15F9F" w:rsidP="0023228A">
      <w:r>
        <w:separator/>
      </w:r>
    </w:p>
  </w:endnote>
  <w:endnote w:type="continuationSeparator" w:id="0">
    <w:p w14:paraId="54CEBE6A" w14:textId="77777777" w:rsidR="00A15F9F" w:rsidRDefault="00A15F9F" w:rsidP="0023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69687" w14:textId="77777777" w:rsidR="00A62D63" w:rsidRDefault="00A62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0EB8D" w14:textId="77777777" w:rsidR="00A62D63" w:rsidRDefault="00A62D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3A7F1" w14:textId="77777777" w:rsidR="00A62D63" w:rsidRDefault="00A62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AFC8A" w14:textId="77777777" w:rsidR="00A15F9F" w:rsidRDefault="00A15F9F" w:rsidP="0023228A">
      <w:r>
        <w:separator/>
      </w:r>
    </w:p>
  </w:footnote>
  <w:footnote w:type="continuationSeparator" w:id="0">
    <w:p w14:paraId="024E6E95" w14:textId="77777777" w:rsidR="00A15F9F" w:rsidRDefault="00A15F9F" w:rsidP="00232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FF353" w14:textId="77777777" w:rsidR="00A62D63" w:rsidRDefault="00A62D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68" w:type="dxa"/>
      <w:tblLook w:val="01E0" w:firstRow="1" w:lastRow="1" w:firstColumn="1" w:lastColumn="1" w:noHBand="0" w:noVBand="0"/>
    </w:tblPr>
    <w:tblGrid>
      <w:gridCol w:w="5495"/>
      <w:gridCol w:w="3273"/>
    </w:tblGrid>
    <w:tr w:rsidR="0023228A" w:rsidRPr="0023228A" w14:paraId="30553601" w14:textId="77777777" w:rsidTr="009F6821">
      <w:tc>
        <w:tcPr>
          <w:tcW w:w="5495" w:type="dxa"/>
          <w:vMerge w:val="restart"/>
          <w:hideMark/>
        </w:tcPr>
        <w:p w14:paraId="208574D4" w14:textId="1B079DB4" w:rsidR="0023228A" w:rsidRPr="0023228A" w:rsidRDefault="0023228A">
          <w:pPr>
            <w:pStyle w:val="Header"/>
            <w:tabs>
              <w:tab w:val="center" w:pos="2923"/>
            </w:tabs>
            <w:rPr>
              <w:rFonts w:ascii="Arial" w:hAnsi="Arial" w:cs="Arial"/>
              <w:sz w:val="22"/>
              <w:szCs w:val="22"/>
            </w:rPr>
          </w:pPr>
          <w:r w:rsidRPr="0023228A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45852912" wp14:editId="1F6C5BB9">
                <wp:extent cx="1432560" cy="845820"/>
                <wp:effectExtent l="0" t="0" r="0" b="0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3228A">
            <w:rPr>
              <w:rFonts w:ascii="Arial" w:hAnsi="Arial" w:cs="Arial"/>
              <w:sz w:val="22"/>
              <w:szCs w:val="22"/>
            </w:rPr>
            <w:tab/>
          </w:r>
        </w:p>
      </w:tc>
      <w:tc>
        <w:tcPr>
          <w:tcW w:w="3273" w:type="dxa"/>
          <w:hideMark/>
        </w:tcPr>
        <w:p w14:paraId="07ADA3F3" w14:textId="77777777" w:rsidR="009F6821" w:rsidRDefault="009F6821">
          <w:pPr>
            <w:pStyle w:val="Header"/>
            <w:rPr>
              <w:rFonts w:ascii="Arial" w:hAnsi="Arial" w:cs="Arial"/>
              <w:b/>
              <w:sz w:val="22"/>
              <w:szCs w:val="22"/>
            </w:rPr>
          </w:pPr>
        </w:p>
        <w:p w14:paraId="4729CC07" w14:textId="77777777" w:rsidR="0023228A" w:rsidRDefault="003D2357" w:rsidP="001B33E1">
          <w:pPr>
            <w:pStyle w:val="Head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Resources Portfolio</w:t>
          </w:r>
          <w:r w:rsidR="0045307F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  <w:p w14:paraId="29851531" w14:textId="77777777" w:rsidR="001728E9" w:rsidRDefault="001728E9" w:rsidP="001B33E1">
          <w:pPr>
            <w:pStyle w:val="Header"/>
            <w:rPr>
              <w:rFonts w:ascii="Arial" w:hAnsi="Arial" w:cs="Arial"/>
              <w:b/>
              <w:sz w:val="22"/>
              <w:szCs w:val="22"/>
            </w:rPr>
          </w:pPr>
        </w:p>
        <w:p w14:paraId="3ADFA1F6" w14:textId="68BD4E35" w:rsidR="001728E9" w:rsidRPr="001728E9" w:rsidRDefault="00A62D63" w:rsidP="001B33E1">
          <w:pPr>
            <w:pStyle w:val="Head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21</w:t>
          </w:r>
          <w:bookmarkStart w:id="0" w:name="_GoBack"/>
          <w:bookmarkEnd w:id="0"/>
          <w:r w:rsidR="001728E9" w:rsidRPr="001728E9">
            <w:rPr>
              <w:rFonts w:ascii="Arial" w:hAnsi="Arial" w:cs="Arial"/>
              <w:sz w:val="22"/>
              <w:szCs w:val="22"/>
            </w:rPr>
            <w:t xml:space="preserve"> April 2016</w:t>
          </w:r>
        </w:p>
      </w:tc>
    </w:tr>
    <w:tr w:rsidR="0023228A" w:rsidRPr="0023228A" w14:paraId="2B772D81" w14:textId="77777777" w:rsidTr="009F6821">
      <w:trPr>
        <w:trHeight w:val="605"/>
      </w:trPr>
      <w:tc>
        <w:tcPr>
          <w:tcW w:w="5495" w:type="dxa"/>
          <w:vMerge/>
          <w:vAlign w:val="center"/>
          <w:hideMark/>
        </w:tcPr>
        <w:p w14:paraId="5005A3D2" w14:textId="77777777" w:rsidR="0023228A" w:rsidRPr="0023228A" w:rsidRDefault="0023228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273" w:type="dxa"/>
          <w:hideMark/>
        </w:tcPr>
        <w:p w14:paraId="036A98DE" w14:textId="6E70B339" w:rsidR="0023228A" w:rsidRPr="0023228A" w:rsidRDefault="0023228A" w:rsidP="001B33E1">
          <w:pPr>
            <w:pStyle w:val="Header"/>
            <w:spacing w:before="60"/>
            <w:rPr>
              <w:rFonts w:ascii="Arial" w:hAnsi="Arial" w:cs="Arial"/>
              <w:sz w:val="22"/>
              <w:szCs w:val="22"/>
            </w:rPr>
          </w:pPr>
        </w:p>
      </w:tc>
    </w:tr>
    <w:tr w:rsidR="0023228A" w:rsidRPr="0023228A" w14:paraId="040B3522" w14:textId="77777777" w:rsidTr="009F6821">
      <w:trPr>
        <w:trHeight w:val="68"/>
      </w:trPr>
      <w:tc>
        <w:tcPr>
          <w:tcW w:w="5495" w:type="dxa"/>
          <w:vMerge/>
          <w:vAlign w:val="center"/>
          <w:hideMark/>
        </w:tcPr>
        <w:p w14:paraId="161971D3" w14:textId="77777777" w:rsidR="0023228A" w:rsidRPr="0023228A" w:rsidRDefault="0023228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273" w:type="dxa"/>
        </w:tcPr>
        <w:p w14:paraId="69307BD3" w14:textId="77777777" w:rsidR="0023228A" w:rsidRPr="0023228A" w:rsidRDefault="0023228A">
          <w:pPr>
            <w:pStyle w:val="Header"/>
            <w:spacing w:before="60"/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14:paraId="7D1A9463" w14:textId="77777777" w:rsidR="0023228A" w:rsidRDefault="002322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E2052" w14:textId="77777777" w:rsidR="00A62D63" w:rsidRDefault="00A62D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4F6A"/>
    <w:multiLevelType w:val="hybridMultilevel"/>
    <w:tmpl w:val="AE2C50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31642"/>
    <w:multiLevelType w:val="hybridMultilevel"/>
    <w:tmpl w:val="3A0C71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13963"/>
    <w:multiLevelType w:val="multilevel"/>
    <w:tmpl w:val="6478C4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21" w:hanging="661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D21128"/>
    <w:multiLevelType w:val="multilevel"/>
    <w:tmpl w:val="160E7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B34297"/>
    <w:multiLevelType w:val="hybridMultilevel"/>
    <w:tmpl w:val="EFB21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920513"/>
    <w:multiLevelType w:val="hybridMultilevel"/>
    <w:tmpl w:val="75B4F382"/>
    <w:lvl w:ilvl="0" w:tplc="EB247C88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A6126"/>
    <w:multiLevelType w:val="hybridMultilevel"/>
    <w:tmpl w:val="A45C0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CD7735"/>
    <w:multiLevelType w:val="hybridMultilevel"/>
    <w:tmpl w:val="0DDE6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61716"/>
    <w:multiLevelType w:val="hybridMultilevel"/>
    <w:tmpl w:val="91C82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45C12"/>
    <w:multiLevelType w:val="hybridMultilevel"/>
    <w:tmpl w:val="09C637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891C5B"/>
    <w:multiLevelType w:val="hybridMultilevel"/>
    <w:tmpl w:val="F4425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D1E0D"/>
    <w:multiLevelType w:val="hybridMultilevel"/>
    <w:tmpl w:val="6CD0F2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4E5976"/>
    <w:multiLevelType w:val="hybridMultilevel"/>
    <w:tmpl w:val="FA6A60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974901"/>
    <w:multiLevelType w:val="hybridMultilevel"/>
    <w:tmpl w:val="E1483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BA4A32"/>
    <w:multiLevelType w:val="hybridMultilevel"/>
    <w:tmpl w:val="BC8E2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F796C"/>
    <w:multiLevelType w:val="hybridMultilevel"/>
    <w:tmpl w:val="61402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9E1F3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44F9A"/>
    <w:multiLevelType w:val="multilevel"/>
    <w:tmpl w:val="0E02D68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361" w:hanging="65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6"/>
      </w:rPr>
    </w:lvl>
  </w:abstractNum>
  <w:abstractNum w:abstractNumId="17" w15:restartNumberingAfterBreak="0">
    <w:nsid w:val="6C793403"/>
    <w:multiLevelType w:val="multilevel"/>
    <w:tmpl w:val="05C0D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F236EA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0D448ED"/>
    <w:multiLevelType w:val="hybridMultilevel"/>
    <w:tmpl w:val="E8FEE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4E0699"/>
    <w:multiLevelType w:val="hybridMultilevel"/>
    <w:tmpl w:val="7AE8BD2A"/>
    <w:lvl w:ilvl="0" w:tplc="AF32BE2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A7C38F6"/>
    <w:multiLevelType w:val="hybridMultilevel"/>
    <w:tmpl w:val="E8861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52CC9"/>
    <w:multiLevelType w:val="hybridMultilevel"/>
    <w:tmpl w:val="A858A9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18"/>
  </w:num>
  <w:num w:numId="8">
    <w:abstractNumId w:val="5"/>
  </w:num>
  <w:num w:numId="9">
    <w:abstractNumId w:val="7"/>
  </w:num>
  <w:num w:numId="10">
    <w:abstractNumId w:val="11"/>
  </w:num>
  <w:num w:numId="11">
    <w:abstractNumId w:val="17"/>
  </w:num>
  <w:num w:numId="12">
    <w:abstractNumId w:val="4"/>
  </w:num>
  <w:num w:numId="13">
    <w:abstractNumId w:val="22"/>
  </w:num>
  <w:num w:numId="14">
    <w:abstractNumId w:val="6"/>
  </w:num>
  <w:num w:numId="15">
    <w:abstractNumId w:val="19"/>
  </w:num>
  <w:num w:numId="16">
    <w:abstractNumId w:val="1"/>
  </w:num>
  <w:num w:numId="17">
    <w:abstractNumId w:val="12"/>
  </w:num>
  <w:num w:numId="18">
    <w:abstractNumId w:val="12"/>
  </w:num>
  <w:num w:numId="19">
    <w:abstractNumId w:val="1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0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A3"/>
    <w:rsid w:val="00010D20"/>
    <w:rsid w:val="00010FA3"/>
    <w:rsid w:val="0001658A"/>
    <w:rsid w:val="000240E1"/>
    <w:rsid w:val="000265B4"/>
    <w:rsid w:val="00043B8A"/>
    <w:rsid w:val="000476B6"/>
    <w:rsid w:val="00050E17"/>
    <w:rsid w:val="00052770"/>
    <w:rsid w:val="0006352B"/>
    <w:rsid w:val="0006436E"/>
    <w:rsid w:val="00065B95"/>
    <w:rsid w:val="0007029F"/>
    <w:rsid w:val="00072802"/>
    <w:rsid w:val="000942AD"/>
    <w:rsid w:val="00097173"/>
    <w:rsid w:val="000971FB"/>
    <w:rsid w:val="000B4420"/>
    <w:rsid w:val="000B49CD"/>
    <w:rsid w:val="000B4A17"/>
    <w:rsid w:val="000B628E"/>
    <w:rsid w:val="000C00AB"/>
    <w:rsid w:val="000C49B8"/>
    <w:rsid w:val="000E0DF6"/>
    <w:rsid w:val="000E493F"/>
    <w:rsid w:val="000E660A"/>
    <w:rsid w:val="001037F2"/>
    <w:rsid w:val="00111C14"/>
    <w:rsid w:val="00125666"/>
    <w:rsid w:val="00137903"/>
    <w:rsid w:val="00166A74"/>
    <w:rsid w:val="00166C82"/>
    <w:rsid w:val="001728E9"/>
    <w:rsid w:val="001800ED"/>
    <w:rsid w:val="00180D5F"/>
    <w:rsid w:val="00186B9C"/>
    <w:rsid w:val="0018765A"/>
    <w:rsid w:val="001A0138"/>
    <w:rsid w:val="001A2F3A"/>
    <w:rsid w:val="001A3684"/>
    <w:rsid w:val="001A525B"/>
    <w:rsid w:val="001B2692"/>
    <w:rsid w:val="001B27C4"/>
    <w:rsid w:val="001B33E1"/>
    <w:rsid w:val="001B3AC0"/>
    <w:rsid w:val="001B719A"/>
    <w:rsid w:val="001C2434"/>
    <w:rsid w:val="001D4A67"/>
    <w:rsid w:val="001D6B8C"/>
    <w:rsid w:val="001E2251"/>
    <w:rsid w:val="001F7F20"/>
    <w:rsid w:val="002156B1"/>
    <w:rsid w:val="00215B80"/>
    <w:rsid w:val="002257B1"/>
    <w:rsid w:val="0023228A"/>
    <w:rsid w:val="00234DC9"/>
    <w:rsid w:val="002640EA"/>
    <w:rsid w:val="002756C9"/>
    <w:rsid w:val="00277F3D"/>
    <w:rsid w:val="00283DAE"/>
    <w:rsid w:val="00284735"/>
    <w:rsid w:val="00290B70"/>
    <w:rsid w:val="00294166"/>
    <w:rsid w:val="002D07A4"/>
    <w:rsid w:val="002D1B3A"/>
    <w:rsid w:val="002E1899"/>
    <w:rsid w:val="002E1A25"/>
    <w:rsid w:val="002E77BF"/>
    <w:rsid w:val="00305A95"/>
    <w:rsid w:val="003202FC"/>
    <w:rsid w:val="003233DF"/>
    <w:rsid w:val="00330E5B"/>
    <w:rsid w:val="003351EA"/>
    <w:rsid w:val="0033630B"/>
    <w:rsid w:val="003420E4"/>
    <w:rsid w:val="00351E72"/>
    <w:rsid w:val="0036212F"/>
    <w:rsid w:val="00375B4B"/>
    <w:rsid w:val="003862C1"/>
    <w:rsid w:val="00386F1E"/>
    <w:rsid w:val="00387DFB"/>
    <w:rsid w:val="00391B9C"/>
    <w:rsid w:val="00392BE2"/>
    <w:rsid w:val="00393998"/>
    <w:rsid w:val="003B4B25"/>
    <w:rsid w:val="003B6114"/>
    <w:rsid w:val="003B7CE0"/>
    <w:rsid w:val="003C207B"/>
    <w:rsid w:val="003C7FC9"/>
    <w:rsid w:val="003D2357"/>
    <w:rsid w:val="003D7A0C"/>
    <w:rsid w:val="003E17D5"/>
    <w:rsid w:val="0040219F"/>
    <w:rsid w:val="00404EF7"/>
    <w:rsid w:val="004069BE"/>
    <w:rsid w:val="00410304"/>
    <w:rsid w:val="0042281E"/>
    <w:rsid w:val="00435312"/>
    <w:rsid w:val="004445C3"/>
    <w:rsid w:val="0045307F"/>
    <w:rsid w:val="00471131"/>
    <w:rsid w:val="00477D5B"/>
    <w:rsid w:val="00495D80"/>
    <w:rsid w:val="004C1E1D"/>
    <w:rsid w:val="004C662F"/>
    <w:rsid w:val="004D2403"/>
    <w:rsid w:val="004D2782"/>
    <w:rsid w:val="004D3ECA"/>
    <w:rsid w:val="004D449F"/>
    <w:rsid w:val="004E4B63"/>
    <w:rsid w:val="004E74CC"/>
    <w:rsid w:val="004F2109"/>
    <w:rsid w:val="004F7384"/>
    <w:rsid w:val="0051352E"/>
    <w:rsid w:val="005163F9"/>
    <w:rsid w:val="00521DF2"/>
    <w:rsid w:val="005223C9"/>
    <w:rsid w:val="00534B51"/>
    <w:rsid w:val="00550A20"/>
    <w:rsid w:val="00553A2F"/>
    <w:rsid w:val="005575CD"/>
    <w:rsid w:val="00560895"/>
    <w:rsid w:val="00564EF5"/>
    <w:rsid w:val="00567797"/>
    <w:rsid w:val="00576414"/>
    <w:rsid w:val="005800B1"/>
    <w:rsid w:val="00594693"/>
    <w:rsid w:val="005A2508"/>
    <w:rsid w:val="005A73ED"/>
    <w:rsid w:val="005B7E74"/>
    <w:rsid w:val="005C37E0"/>
    <w:rsid w:val="005C4641"/>
    <w:rsid w:val="005C51C4"/>
    <w:rsid w:val="005F0C8F"/>
    <w:rsid w:val="005F0E39"/>
    <w:rsid w:val="005F1FC4"/>
    <w:rsid w:val="005F240B"/>
    <w:rsid w:val="005F3B65"/>
    <w:rsid w:val="00602489"/>
    <w:rsid w:val="00617493"/>
    <w:rsid w:val="00622680"/>
    <w:rsid w:val="00640F21"/>
    <w:rsid w:val="006433D8"/>
    <w:rsid w:val="00645FA8"/>
    <w:rsid w:val="0065551A"/>
    <w:rsid w:val="006570F4"/>
    <w:rsid w:val="00670138"/>
    <w:rsid w:val="006709C7"/>
    <w:rsid w:val="006714AD"/>
    <w:rsid w:val="006741B0"/>
    <w:rsid w:val="00676DEA"/>
    <w:rsid w:val="00685E64"/>
    <w:rsid w:val="006937E4"/>
    <w:rsid w:val="00695B0F"/>
    <w:rsid w:val="006B0AD6"/>
    <w:rsid w:val="006C1188"/>
    <w:rsid w:val="006D0FE0"/>
    <w:rsid w:val="006D31BA"/>
    <w:rsid w:val="006E40AA"/>
    <w:rsid w:val="006F2A04"/>
    <w:rsid w:val="00700A93"/>
    <w:rsid w:val="007017F2"/>
    <w:rsid w:val="00703830"/>
    <w:rsid w:val="0070501C"/>
    <w:rsid w:val="00707263"/>
    <w:rsid w:val="00710365"/>
    <w:rsid w:val="00712219"/>
    <w:rsid w:val="007209FE"/>
    <w:rsid w:val="0072159E"/>
    <w:rsid w:val="00721F3F"/>
    <w:rsid w:val="00722A84"/>
    <w:rsid w:val="00734568"/>
    <w:rsid w:val="007458F1"/>
    <w:rsid w:val="00765BDF"/>
    <w:rsid w:val="007706D2"/>
    <w:rsid w:val="0078222E"/>
    <w:rsid w:val="007921D3"/>
    <w:rsid w:val="00793DB1"/>
    <w:rsid w:val="007C156F"/>
    <w:rsid w:val="007D0413"/>
    <w:rsid w:val="007D201B"/>
    <w:rsid w:val="007D4104"/>
    <w:rsid w:val="007F3BF6"/>
    <w:rsid w:val="00816CC7"/>
    <w:rsid w:val="00820A14"/>
    <w:rsid w:val="0082547C"/>
    <w:rsid w:val="008311BA"/>
    <w:rsid w:val="00831ACF"/>
    <w:rsid w:val="00832F5A"/>
    <w:rsid w:val="0083321E"/>
    <w:rsid w:val="008344C1"/>
    <w:rsid w:val="008428DE"/>
    <w:rsid w:val="008503FC"/>
    <w:rsid w:val="00855C7C"/>
    <w:rsid w:val="0087282D"/>
    <w:rsid w:val="0087344C"/>
    <w:rsid w:val="00891CC0"/>
    <w:rsid w:val="008A1B30"/>
    <w:rsid w:val="008A3908"/>
    <w:rsid w:val="008A5270"/>
    <w:rsid w:val="008B5C54"/>
    <w:rsid w:val="008C41B8"/>
    <w:rsid w:val="008F7628"/>
    <w:rsid w:val="009036FE"/>
    <w:rsid w:val="0092317C"/>
    <w:rsid w:val="009254B8"/>
    <w:rsid w:val="00926DA2"/>
    <w:rsid w:val="00944A36"/>
    <w:rsid w:val="009547A5"/>
    <w:rsid w:val="00954A59"/>
    <w:rsid w:val="00956282"/>
    <w:rsid w:val="0095737D"/>
    <w:rsid w:val="009601B3"/>
    <w:rsid w:val="00971EE9"/>
    <w:rsid w:val="00973644"/>
    <w:rsid w:val="009B3EB9"/>
    <w:rsid w:val="009C27C6"/>
    <w:rsid w:val="009C2BF3"/>
    <w:rsid w:val="009C3CA6"/>
    <w:rsid w:val="009C5A19"/>
    <w:rsid w:val="009F6821"/>
    <w:rsid w:val="00A013E1"/>
    <w:rsid w:val="00A02146"/>
    <w:rsid w:val="00A0513A"/>
    <w:rsid w:val="00A12B6C"/>
    <w:rsid w:val="00A15F9F"/>
    <w:rsid w:val="00A17745"/>
    <w:rsid w:val="00A359DF"/>
    <w:rsid w:val="00A60DD9"/>
    <w:rsid w:val="00A62D63"/>
    <w:rsid w:val="00A65AEA"/>
    <w:rsid w:val="00A7514A"/>
    <w:rsid w:val="00A913F8"/>
    <w:rsid w:val="00AA2D2D"/>
    <w:rsid w:val="00AB191A"/>
    <w:rsid w:val="00AB7BDB"/>
    <w:rsid w:val="00AC1A1F"/>
    <w:rsid w:val="00AC432E"/>
    <w:rsid w:val="00AE2811"/>
    <w:rsid w:val="00AE704D"/>
    <w:rsid w:val="00AF4C45"/>
    <w:rsid w:val="00B0130F"/>
    <w:rsid w:val="00B05C59"/>
    <w:rsid w:val="00B12F85"/>
    <w:rsid w:val="00B25548"/>
    <w:rsid w:val="00B317A3"/>
    <w:rsid w:val="00B35B89"/>
    <w:rsid w:val="00B62C23"/>
    <w:rsid w:val="00B63EE5"/>
    <w:rsid w:val="00B66DB3"/>
    <w:rsid w:val="00B72237"/>
    <w:rsid w:val="00B7602E"/>
    <w:rsid w:val="00B8005F"/>
    <w:rsid w:val="00B911ED"/>
    <w:rsid w:val="00B97EB1"/>
    <w:rsid w:val="00BA021A"/>
    <w:rsid w:val="00BA0B34"/>
    <w:rsid w:val="00BA349D"/>
    <w:rsid w:val="00BB3EBD"/>
    <w:rsid w:val="00BB714A"/>
    <w:rsid w:val="00BC7D48"/>
    <w:rsid w:val="00BF1D9A"/>
    <w:rsid w:val="00BF6D68"/>
    <w:rsid w:val="00C00F30"/>
    <w:rsid w:val="00C031E8"/>
    <w:rsid w:val="00C3294B"/>
    <w:rsid w:val="00C346D4"/>
    <w:rsid w:val="00C46387"/>
    <w:rsid w:val="00C66B1B"/>
    <w:rsid w:val="00C80310"/>
    <w:rsid w:val="00C8590C"/>
    <w:rsid w:val="00C956C5"/>
    <w:rsid w:val="00CA05D8"/>
    <w:rsid w:val="00CA0D80"/>
    <w:rsid w:val="00CA2CEC"/>
    <w:rsid w:val="00CB0344"/>
    <w:rsid w:val="00CC23FC"/>
    <w:rsid w:val="00CD5782"/>
    <w:rsid w:val="00CF1C38"/>
    <w:rsid w:val="00CF752D"/>
    <w:rsid w:val="00CF774E"/>
    <w:rsid w:val="00D026D5"/>
    <w:rsid w:val="00D03AF4"/>
    <w:rsid w:val="00D254F8"/>
    <w:rsid w:val="00D26F4C"/>
    <w:rsid w:val="00D30E78"/>
    <w:rsid w:val="00D312FE"/>
    <w:rsid w:val="00D324C2"/>
    <w:rsid w:val="00D52743"/>
    <w:rsid w:val="00D530A6"/>
    <w:rsid w:val="00D54893"/>
    <w:rsid w:val="00D5771A"/>
    <w:rsid w:val="00D6316A"/>
    <w:rsid w:val="00D678ED"/>
    <w:rsid w:val="00D74CA3"/>
    <w:rsid w:val="00D905C7"/>
    <w:rsid w:val="00DA08FF"/>
    <w:rsid w:val="00DA12F2"/>
    <w:rsid w:val="00DB2D70"/>
    <w:rsid w:val="00DB6DE5"/>
    <w:rsid w:val="00DF49E7"/>
    <w:rsid w:val="00E05942"/>
    <w:rsid w:val="00E065DC"/>
    <w:rsid w:val="00E262A4"/>
    <w:rsid w:val="00E32EAE"/>
    <w:rsid w:val="00E33471"/>
    <w:rsid w:val="00E3451D"/>
    <w:rsid w:val="00E42A95"/>
    <w:rsid w:val="00E47812"/>
    <w:rsid w:val="00E74C0A"/>
    <w:rsid w:val="00E75676"/>
    <w:rsid w:val="00E93827"/>
    <w:rsid w:val="00E95430"/>
    <w:rsid w:val="00EA2FE2"/>
    <w:rsid w:val="00EA309F"/>
    <w:rsid w:val="00EA45E4"/>
    <w:rsid w:val="00EC1F28"/>
    <w:rsid w:val="00EC47BB"/>
    <w:rsid w:val="00EC7928"/>
    <w:rsid w:val="00EC79BC"/>
    <w:rsid w:val="00ED14E1"/>
    <w:rsid w:val="00ED29EF"/>
    <w:rsid w:val="00ED6E75"/>
    <w:rsid w:val="00EE4178"/>
    <w:rsid w:val="00EE44A0"/>
    <w:rsid w:val="00EF1121"/>
    <w:rsid w:val="00F017EB"/>
    <w:rsid w:val="00F1779E"/>
    <w:rsid w:val="00F24FCA"/>
    <w:rsid w:val="00F276F0"/>
    <w:rsid w:val="00F3047C"/>
    <w:rsid w:val="00F3072A"/>
    <w:rsid w:val="00F33A49"/>
    <w:rsid w:val="00F34C3A"/>
    <w:rsid w:val="00F5225A"/>
    <w:rsid w:val="00F74A90"/>
    <w:rsid w:val="00F816DF"/>
    <w:rsid w:val="00F84378"/>
    <w:rsid w:val="00F84899"/>
    <w:rsid w:val="00F92E6B"/>
    <w:rsid w:val="00FA5416"/>
    <w:rsid w:val="00FB3DA1"/>
    <w:rsid w:val="00FC34E6"/>
    <w:rsid w:val="00FD4CFD"/>
    <w:rsid w:val="00FE49EC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E096E3"/>
  <w15:docId w15:val="{8A0511AB-5233-452B-9046-7A51B98B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10FA3"/>
    <w:rPr>
      <w:rFonts w:ascii="Arial" w:eastAsiaTheme="minorHAnsi" w:hAnsi="Arial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10FA3"/>
    <w:rPr>
      <w:rFonts w:ascii="Arial" w:eastAsiaTheme="minorHAnsi" w:hAnsi="Arial" w:cs="Consolas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39399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5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54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329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29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294B"/>
  </w:style>
  <w:style w:type="paragraph" w:styleId="CommentSubject">
    <w:name w:val="annotation subject"/>
    <w:basedOn w:val="CommentText"/>
    <w:next w:val="CommentText"/>
    <w:link w:val="CommentSubjectChar"/>
    <w:rsid w:val="00C32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294B"/>
    <w:rPr>
      <w:b/>
      <w:bCs/>
    </w:rPr>
  </w:style>
  <w:style w:type="paragraph" w:styleId="Header">
    <w:name w:val="header"/>
    <w:basedOn w:val="Normal"/>
    <w:link w:val="HeaderChar"/>
    <w:rsid w:val="002322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3228A"/>
    <w:rPr>
      <w:sz w:val="24"/>
      <w:szCs w:val="24"/>
    </w:rPr>
  </w:style>
  <w:style w:type="paragraph" w:styleId="Footer">
    <w:name w:val="footer"/>
    <w:basedOn w:val="Normal"/>
    <w:link w:val="FooterChar"/>
    <w:rsid w:val="002322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3228A"/>
    <w:rPr>
      <w:sz w:val="24"/>
      <w:szCs w:val="24"/>
    </w:rPr>
  </w:style>
  <w:style w:type="character" w:styleId="Hyperlink">
    <w:name w:val="Hyperlink"/>
    <w:basedOn w:val="DefaultParagraphFont"/>
    <w:unhideWhenUsed/>
    <w:rsid w:val="00534B51"/>
    <w:rPr>
      <w:color w:val="0000FF" w:themeColor="hyperlink"/>
      <w:u w:val="single"/>
    </w:rPr>
  </w:style>
  <w:style w:type="character" w:customStyle="1" w:styleId="MainTextChar">
    <w:name w:val="Main Text Char"/>
    <w:link w:val="MainText"/>
    <w:locked/>
    <w:rsid w:val="00180D5F"/>
    <w:rPr>
      <w:rFonts w:ascii="Frutiger 45 Light" w:hAnsi="Frutiger 45 Light"/>
      <w:lang w:val="x-none" w:eastAsia="x-none"/>
    </w:rPr>
  </w:style>
  <w:style w:type="paragraph" w:customStyle="1" w:styleId="MainText">
    <w:name w:val="Main Text"/>
    <w:basedOn w:val="Normal"/>
    <w:link w:val="MainTextChar"/>
    <w:rsid w:val="00180D5F"/>
    <w:pPr>
      <w:spacing w:line="280" w:lineRule="exact"/>
    </w:pPr>
    <w:rPr>
      <w:rFonts w:ascii="Frutiger 45 Light" w:hAnsi="Frutiger 45 Light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nhideWhenUsed/>
    <w:rsid w:val="00180D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80D5F"/>
  </w:style>
  <w:style w:type="character" w:styleId="FootnoteReference">
    <w:name w:val="footnote reference"/>
    <w:basedOn w:val="DefaultParagraphFont"/>
    <w:unhideWhenUsed/>
    <w:rsid w:val="00180D5F"/>
    <w:rPr>
      <w:vertAlign w:val="superscript"/>
    </w:rPr>
  </w:style>
  <w:style w:type="table" w:styleId="TableGrid">
    <w:name w:val="Table Grid"/>
    <w:basedOn w:val="TableNormal"/>
    <w:uiPriority w:val="59"/>
    <w:rsid w:val="00180D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40F21"/>
    <w:rPr>
      <w:b/>
      <w:bCs/>
      <w:i w:val="0"/>
      <w:iCs w:val="0"/>
    </w:rPr>
  </w:style>
  <w:style w:type="character" w:customStyle="1" w:styleId="st">
    <w:name w:val="st"/>
    <w:basedOn w:val="DefaultParagraphFont"/>
    <w:rsid w:val="00275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18E5C7F9D9040A5AEFB7288B7574E" ma:contentTypeVersion="4" ma:contentTypeDescription="Create a new document." ma:contentTypeScope="" ma:versionID="5016c54474e6874afb4d334ad5ba639f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1c8a0e75-f4bc-4eb4-8ed0-578eaea9e1ca" xsi:nil="true"/>
    <TaxCatchAll xmlns="1c8a0e75-f4bc-4eb4-8ed0-578eaea9e1ca"/>
    <Keyword_x002f_Tag xmlns="c8febe6a-14d9-43ab-83c3-c48f478fa47c" xsi:nil="true"/>
    <Meeting_x0020_date xmlns="c8febe6a-14d9-43ab-83c3-c48f478fa47c" xsi:nil="true"/>
    <Work_x0020_Area xmlns="c8febe6a-14d9-43ab-83c3-c48f478fa4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37C73-6C83-4B03-8BE0-924F4F2B7F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C307CB-F937-4ADB-8D6D-007AA6E2D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4C06B4-FD4D-416A-9F52-13E0922C4013}">
  <ds:schemaRefs>
    <ds:schemaRef ds:uri="1c8a0e75-f4bc-4eb4-8ed0-578eaea9e1ca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8febe6a-14d9-43ab-83c3-c48f478fa47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26E2465-AA11-4915-967D-F1444CB2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998E783C.dotm</Template>
  <TotalTime>20</TotalTime>
  <Pages>2</Pages>
  <Words>635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Hughes</dc:creator>
  <cp:lastModifiedBy>Frances Marshall</cp:lastModifiedBy>
  <cp:revision>56</cp:revision>
  <cp:lastPrinted>2015-08-17T14:59:00Z</cp:lastPrinted>
  <dcterms:created xsi:type="dcterms:W3CDTF">2016-04-13T08:17:00Z</dcterms:created>
  <dcterms:modified xsi:type="dcterms:W3CDTF">2016-04-13T16:35:00Z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0x01010022618E5C7F9D9040A5AEFB7288B7574E</vt:lpwstr>
  </property>
  <property fmtid="{D5CDD505-2E9C-101B-9397-08002B2CF9AE}" pid="3" name="TaxKeyword">
    <vt:lpwstr/>
  </property>
</Properties>
</file>