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77A0" w14:textId="2F3F0B4B" w:rsidR="00180D5F" w:rsidRPr="00180D5F" w:rsidRDefault="001B33E1" w:rsidP="00180D5F">
      <w:pPr>
        <w:pStyle w:val="Plain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Work Programme</w:t>
      </w:r>
      <w:r w:rsidR="0042281E">
        <w:rPr>
          <w:rFonts w:cs="Arial"/>
          <w:b/>
          <w:sz w:val="28"/>
          <w:szCs w:val="28"/>
        </w:rPr>
        <w:t xml:space="preserve"> </w:t>
      </w:r>
      <w:r w:rsidR="001D0EA7">
        <w:rPr>
          <w:rFonts w:cs="Arial"/>
          <w:b/>
          <w:sz w:val="28"/>
          <w:szCs w:val="28"/>
        </w:rPr>
        <w:t xml:space="preserve">Priorities: </w:t>
      </w:r>
      <w:r w:rsidR="009E5DE5">
        <w:rPr>
          <w:rFonts w:cs="Arial"/>
          <w:b/>
          <w:sz w:val="28"/>
          <w:szCs w:val="28"/>
        </w:rPr>
        <w:t xml:space="preserve">Welfare Reform </w:t>
      </w:r>
      <w:r w:rsidR="00043B8A">
        <w:rPr>
          <w:rFonts w:cs="Arial"/>
          <w:b/>
          <w:sz w:val="28"/>
          <w:szCs w:val="28"/>
        </w:rPr>
        <w:t>Activity to Date</w:t>
      </w:r>
    </w:p>
    <w:p w14:paraId="3E12AB8A" w14:textId="77777777" w:rsidR="00043B8A" w:rsidRDefault="00043B8A" w:rsidP="00EE4178">
      <w:pPr>
        <w:pStyle w:val="PlainText"/>
        <w:ind w:left="360"/>
        <w:rPr>
          <w:rFonts w:cs="Arial"/>
          <w:szCs w:val="22"/>
        </w:rPr>
      </w:pPr>
    </w:p>
    <w:p w14:paraId="2EAAEC48" w14:textId="4347CD75" w:rsidR="00043B8A" w:rsidRDefault="00043B8A"/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031E8" w:rsidRPr="00726213" w14:paraId="212AD2D0" w14:textId="77777777" w:rsidTr="00AE0072">
        <w:trPr>
          <w:tblHeader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F320" w14:textId="37DCDA2E" w:rsidR="00C031E8" w:rsidRPr="00726213" w:rsidRDefault="00C031E8" w:rsidP="00C031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t xml:space="preserve">Work Stream: </w:t>
            </w:r>
            <w:r w:rsidRPr="0072621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26213">
              <w:rPr>
                <w:rFonts w:ascii="Arial" w:hAnsi="Arial" w:cs="Arial"/>
                <w:b/>
                <w:sz w:val="22"/>
                <w:szCs w:val="22"/>
              </w:rPr>
              <w:t>Welfare Reform</w:t>
            </w:r>
          </w:p>
          <w:p w14:paraId="1350E340" w14:textId="77777777" w:rsidR="00C031E8" w:rsidRPr="00726213" w:rsidRDefault="00C031E8" w:rsidP="00422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1E8" w:rsidRPr="00726213" w14:paraId="53AE34AF" w14:textId="77777777" w:rsidTr="00AE0072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630C3" w14:textId="77777777" w:rsidR="00C031E8" w:rsidRPr="00726213" w:rsidRDefault="00C031E8" w:rsidP="00BF69F3">
            <w:pPr>
              <w:widowControl w:val="0"/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t xml:space="preserve">Priority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1C278" w14:textId="7272754D" w:rsidR="00C031E8" w:rsidRPr="00726213" w:rsidRDefault="00C031E8" w:rsidP="00BF69F3">
            <w:pPr>
              <w:widowControl w:val="0"/>
              <w:tabs>
                <w:tab w:val="left" w:pos="42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Pr="00726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31E8" w:rsidRPr="00726213" w14:paraId="0D1E02F3" w14:textId="77777777" w:rsidTr="000265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30F" w14:textId="67532651" w:rsidR="00C031E8" w:rsidRPr="00726213" w:rsidRDefault="00C031E8" w:rsidP="00BF6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t>The role of councils in benefit administration is recognised and adequately resourced</w:t>
            </w:r>
            <w:r w:rsidR="0042281E" w:rsidRPr="007262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1B9" w14:textId="1BC51660" w:rsidR="002D6576" w:rsidRDefault="002D6576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This work i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 xml:space="preserve">s ongoing as </w:t>
            </w:r>
            <w:r w:rsidR="00C83BAD">
              <w:rPr>
                <w:rFonts w:ascii="Arial" w:hAnsi="Arial" w:cs="Arial"/>
                <w:sz w:val="22"/>
                <w:szCs w:val="22"/>
              </w:rPr>
              <w:t>Universal Credit (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>UC</w:t>
            </w:r>
            <w:r w:rsidR="00C83BAD">
              <w:rPr>
                <w:rFonts w:ascii="Arial" w:hAnsi="Arial" w:cs="Arial"/>
                <w:sz w:val="22"/>
                <w:szCs w:val="22"/>
              </w:rPr>
              <w:t>)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 xml:space="preserve"> is rolled out, mainly via th</w:t>
            </w:r>
            <w:r w:rsidR="00C83BAD">
              <w:rPr>
                <w:rFonts w:ascii="Arial" w:hAnsi="Arial" w:cs="Arial"/>
                <w:sz w:val="22"/>
                <w:szCs w:val="22"/>
              </w:rPr>
              <w:t>e Local Authority Associations G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>roup</w:t>
            </w:r>
            <w:r w:rsidR="00C83B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05D818" w14:textId="77777777" w:rsidR="006C17C7" w:rsidRPr="00726213" w:rsidRDefault="006C17C7" w:rsidP="006C17C7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10445204" w14:textId="72F81B3E" w:rsidR="00F1539B" w:rsidRDefault="00F1539B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LGA continues to host the UC Partnership Forum and attend the UC Programme Board</w:t>
            </w:r>
            <w:r w:rsidR="00C83B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90AC25" w14:textId="65E16071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8498211" w14:textId="3E1196BC" w:rsidR="00F1539B" w:rsidRDefault="00F1539B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Regular meetings between the Chairman and Lord Freud, Minister for Welfare Reform, i</w:t>
            </w:r>
            <w:r w:rsidR="00C83BAD">
              <w:rPr>
                <w:rFonts w:ascii="Arial" w:hAnsi="Arial" w:cs="Arial"/>
                <w:sz w:val="22"/>
                <w:szCs w:val="22"/>
              </w:rPr>
              <w:t>nformed by Resources Portfolio H</w:t>
            </w:r>
            <w:r w:rsidRPr="00726213">
              <w:rPr>
                <w:rFonts w:ascii="Arial" w:hAnsi="Arial" w:cs="Arial"/>
                <w:sz w:val="22"/>
                <w:szCs w:val="22"/>
              </w:rPr>
              <w:t>olders views</w:t>
            </w:r>
            <w:r w:rsidR="00C83B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E19693" w14:textId="3FE48819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AD36135" w14:textId="790887AA" w:rsidR="00C031E8" w:rsidRDefault="0065427D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D6576" w:rsidRPr="00726213">
              <w:rPr>
                <w:rFonts w:ascii="Arial" w:hAnsi="Arial" w:cs="Arial"/>
                <w:sz w:val="22"/>
                <w:szCs w:val="22"/>
              </w:rPr>
              <w:t>ecured</w:t>
            </w:r>
            <w:r w:rsidR="00C83BAD">
              <w:rPr>
                <w:rFonts w:ascii="Arial" w:hAnsi="Arial" w:cs="Arial"/>
                <w:sz w:val="22"/>
                <w:szCs w:val="22"/>
              </w:rPr>
              <w:t xml:space="preserve"> Housing Benefit (</w:t>
            </w:r>
            <w:r w:rsidR="002D6576" w:rsidRPr="00726213">
              <w:rPr>
                <w:rFonts w:ascii="Arial" w:hAnsi="Arial" w:cs="Arial"/>
                <w:sz w:val="22"/>
                <w:szCs w:val="22"/>
              </w:rPr>
              <w:t>HB</w:t>
            </w:r>
            <w:r w:rsidR="00C83BAD">
              <w:rPr>
                <w:rFonts w:ascii="Arial" w:hAnsi="Arial" w:cs="Arial"/>
                <w:sz w:val="22"/>
                <w:szCs w:val="22"/>
              </w:rPr>
              <w:t>)</w:t>
            </w:r>
            <w:r w:rsidR="002D6576" w:rsidRPr="00726213">
              <w:rPr>
                <w:rFonts w:ascii="Arial" w:hAnsi="Arial" w:cs="Arial"/>
                <w:sz w:val="22"/>
                <w:szCs w:val="22"/>
              </w:rPr>
              <w:t xml:space="preserve"> administration subsidy for 2016/17, and supported negotiations on the distribution formula</w:t>
            </w:r>
            <w:r w:rsidR="00C83B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6E0DEF" w14:textId="4B043A1A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A451009" w14:textId="1FDF216A" w:rsidR="002D6576" w:rsidRDefault="0065427D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D6576" w:rsidRPr="00726213">
              <w:rPr>
                <w:rFonts w:ascii="Arial" w:hAnsi="Arial" w:cs="Arial"/>
                <w:sz w:val="22"/>
                <w:szCs w:val="22"/>
              </w:rPr>
              <w:t>upported councils with negotiation of their Partnership Agreements for UC roll-out and transition</w:t>
            </w:r>
            <w:r w:rsidR="00C83B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EE2A38" w14:textId="337A79ED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628610" w14:textId="3F82C713" w:rsidR="002D6576" w:rsidRDefault="003B5319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D6576" w:rsidRPr="00726213">
              <w:rPr>
                <w:rFonts w:ascii="Arial" w:hAnsi="Arial" w:cs="Arial"/>
                <w:sz w:val="22"/>
                <w:szCs w:val="22"/>
              </w:rPr>
              <w:t>nsured that adequate and appropriate New Burdens payments are made</w:t>
            </w:r>
            <w:r w:rsidR="00C83B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1AAA28" w14:textId="0FA8FA5F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139C49C" w14:textId="09199D30" w:rsidR="002D6576" w:rsidRDefault="002D6576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We will continue to discuss with councils and</w:t>
            </w:r>
            <w:r w:rsidR="00FB17B7">
              <w:rPr>
                <w:rFonts w:ascii="Arial" w:hAnsi="Arial" w:cs="Arial"/>
                <w:sz w:val="22"/>
                <w:szCs w:val="22"/>
              </w:rPr>
              <w:t xml:space="preserve"> the Department for Work and Pensions (</w:t>
            </w:r>
            <w:r w:rsidRPr="00726213">
              <w:rPr>
                <w:rFonts w:ascii="Arial" w:hAnsi="Arial" w:cs="Arial"/>
                <w:sz w:val="22"/>
                <w:szCs w:val="22"/>
              </w:rPr>
              <w:t>DWP</w:t>
            </w:r>
            <w:r w:rsidR="00FB17B7">
              <w:rPr>
                <w:rFonts w:ascii="Arial" w:hAnsi="Arial" w:cs="Arial"/>
                <w:sz w:val="22"/>
                <w:szCs w:val="22"/>
              </w:rPr>
              <w:t>)</w:t>
            </w:r>
            <w:r w:rsidRPr="00726213">
              <w:rPr>
                <w:rFonts w:ascii="Arial" w:hAnsi="Arial" w:cs="Arial"/>
                <w:sz w:val="22"/>
                <w:szCs w:val="22"/>
              </w:rPr>
              <w:t xml:space="preserve"> the current and future use of Discretionary Housing Payment (DHP), and this is also being fed into discussions </w:t>
            </w:r>
            <w:r w:rsidR="0065427D">
              <w:rPr>
                <w:rFonts w:ascii="Arial" w:hAnsi="Arial" w:cs="Arial"/>
                <w:sz w:val="22"/>
                <w:szCs w:val="22"/>
              </w:rPr>
              <w:t xml:space="preserve">regarding </w:t>
            </w:r>
            <w:r w:rsidRPr="00726213">
              <w:rPr>
                <w:rFonts w:ascii="Arial" w:hAnsi="Arial" w:cs="Arial"/>
                <w:sz w:val="22"/>
                <w:szCs w:val="22"/>
              </w:rPr>
              <w:t>Business Rates retention</w:t>
            </w:r>
            <w:r w:rsidR="006542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33EEE5" w14:textId="681A90FF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20A9701" w14:textId="77777777" w:rsidR="00F1539B" w:rsidRDefault="00EB53E9" w:rsidP="00EB53E9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>ommissioned a short research project into DWP administration of disability benefits, to explore potential for localisation (as part of Business Rates work).  To report by end of April.</w:t>
            </w:r>
          </w:p>
          <w:p w14:paraId="0DE7B52C" w14:textId="459AFF96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E8" w:rsidRPr="00726213" w14:paraId="4FE4CC3A" w14:textId="77777777" w:rsidTr="000265B4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CF6" w14:textId="770FA315" w:rsidR="00C031E8" w:rsidRPr="00726213" w:rsidRDefault="00C031E8" w:rsidP="00BF6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t xml:space="preserve">The role of councils in supporting </w:t>
            </w:r>
            <w:r w:rsidR="0042281E" w:rsidRPr="00726213">
              <w:rPr>
                <w:rFonts w:ascii="Arial" w:hAnsi="Arial" w:cs="Arial"/>
                <w:b/>
                <w:sz w:val="22"/>
                <w:szCs w:val="22"/>
              </w:rPr>
              <w:t xml:space="preserve">Universal </w:t>
            </w:r>
            <w:r w:rsidRPr="00726213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2281E" w:rsidRPr="00726213">
              <w:rPr>
                <w:rFonts w:ascii="Arial" w:hAnsi="Arial" w:cs="Arial"/>
                <w:b/>
                <w:sz w:val="22"/>
                <w:szCs w:val="22"/>
              </w:rPr>
              <w:t>redit (UC)</w:t>
            </w:r>
            <w:r w:rsidRPr="00726213">
              <w:rPr>
                <w:rFonts w:ascii="Arial" w:hAnsi="Arial" w:cs="Arial"/>
                <w:b/>
                <w:sz w:val="22"/>
                <w:szCs w:val="22"/>
              </w:rPr>
              <w:t xml:space="preserve"> claimants to make and maintain a claim is recognised and adequately resourced</w:t>
            </w:r>
            <w:r w:rsidR="0042281E" w:rsidRPr="007262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6BAEB69" w14:textId="77777777" w:rsidR="00C031E8" w:rsidRPr="00726213" w:rsidRDefault="00C031E8" w:rsidP="00BF69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E69" w14:textId="599379EB" w:rsidR="00C031E8" w:rsidRDefault="002D6576" w:rsidP="002D65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Made a written submission and gave evidence (Cllr Fuller) to the Work and Pensions Committee Inquiry on Local Welfare</w:t>
            </w:r>
            <w:r w:rsidR="004439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5E089E" w14:textId="77777777" w:rsidR="006C17C7" w:rsidRPr="00726213" w:rsidRDefault="006C17C7" w:rsidP="006C17C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497B817" w14:textId="101EDCA6" w:rsidR="002D6576" w:rsidRDefault="002D6576" w:rsidP="002D65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Working closely with employment &amp; skills colleagues on proposals for disadvanta</w:t>
            </w:r>
            <w:r w:rsidR="00F50CB8" w:rsidRPr="00726213">
              <w:rPr>
                <w:rFonts w:ascii="Arial" w:hAnsi="Arial" w:cs="Arial"/>
                <w:sz w:val="22"/>
                <w:szCs w:val="22"/>
              </w:rPr>
              <w:t xml:space="preserve">ged jobseekers; </w:t>
            </w:r>
            <w:r w:rsidRPr="00726213">
              <w:rPr>
                <w:rFonts w:ascii="Arial" w:hAnsi="Arial" w:cs="Arial"/>
                <w:sz w:val="22"/>
                <w:szCs w:val="22"/>
              </w:rPr>
              <w:t>design and implementation of the Work and Health programme</w:t>
            </w:r>
            <w:r w:rsidR="00F50CB8" w:rsidRPr="00726213">
              <w:rPr>
                <w:rFonts w:ascii="Arial" w:hAnsi="Arial" w:cs="Arial"/>
                <w:sz w:val="22"/>
                <w:szCs w:val="22"/>
              </w:rPr>
              <w:t>, and proposals for the future role of councils</w:t>
            </w:r>
            <w:r w:rsidR="004439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B1E12C" w14:textId="42B5DF79" w:rsidR="006C17C7" w:rsidRPr="006C17C7" w:rsidRDefault="006C17C7" w:rsidP="006C17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CF522" w14:textId="01E7D2C3" w:rsidR="00F50CB8" w:rsidRPr="00726213" w:rsidRDefault="00F50CB8" w:rsidP="002D657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Secured £240</w:t>
            </w:r>
            <w:r w:rsidR="004439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6213">
              <w:rPr>
                <w:rFonts w:ascii="Arial" w:hAnsi="Arial" w:cs="Arial"/>
                <w:sz w:val="22"/>
                <w:szCs w:val="22"/>
              </w:rPr>
              <w:t>m</w:t>
            </w:r>
            <w:r w:rsidR="00443959">
              <w:rPr>
                <w:rFonts w:ascii="Arial" w:hAnsi="Arial" w:cs="Arial"/>
                <w:sz w:val="22"/>
                <w:szCs w:val="22"/>
              </w:rPr>
              <w:t>illion</w:t>
            </w:r>
            <w:r w:rsidR="00917485">
              <w:rPr>
                <w:rFonts w:ascii="Arial" w:hAnsi="Arial" w:cs="Arial"/>
                <w:sz w:val="22"/>
                <w:szCs w:val="22"/>
              </w:rPr>
              <w:t xml:space="preserve"> over the remainder of the P</w:t>
            </w:r>
            <w:r w:rsidRPr="00726213">
              <w:rPr>
                <w:rFonts w:ascii="Arial" w:hAnsi="Arial" w:cs="Arial"/>
                <w:sz w:val="22"/>
                <w:szCs w:val="22"/>
              </w:rPr>
              <w:t>arliament for Universal Support delivered locally</w:t>
            </w:r>
            <w:r w:rsidR="009174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031E8" w:rsidRPr="00726213" w14:paraId="237F2E05" w14:textId="77777777" w:rsidTr="000265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3BA" w14:textId="1B7E1164" w:rsidR="00C031E8" w:rsidRPr="00726213" w:rsidRDefault="00C031E8" w:rsidP="00BF6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t>The experience of councils re</w:t>
            </w:r>
            <w:r w:rsidR="006570F4" w:rsidRPr="0072621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26213">
              <w:rPr>
                <w:rFonts w:ascii="Arial" w:hAnsi="Arial" w:cs="Arial"/>
                <w:b/>
                <w:sz w:val="22"/>
                <w:szCs w:val="22"/>
              </w:rPr>
              <w:t xml:space="preserve"> the impact of welfare reform on low income </w:t>
            </w:r>
            <w:r w:rsidRPr="00726213">
              <w:rPr>
                <w:rFonts w:ascii="Arial" w:hAnsi="Arial" w:cs="Arial"/>
                <w:b/>
                <w:sz w:val="22"/>
                <w:szCs w:val="22"/>
              </w:rPr>
              <w:lastRenderedPageBreak/>
              <w:t>households informs future policy development</w:t>
            </w:r>
            <w:r w:rsidR="006570F4" w:rsidRPr="007262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FAA9433" w14:textId="77777777" w:rsidR="00C031E8" w:rsidRPr="00726213" w:rsidRDefault="00C031E8" w:rsidP="00BF69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5C3" w14:textId="1FC36DF1" w:rsidR="00C031E8" w:rsidRDefault="00917485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Held a National Welfare C</w:t>
            </w:r>
            <w:r w:rsidR="00F50CB8" w:rsidRPr="00726213">
              <w:rPr>
                <w:rFonts w:ascii="Arial" w:hAnsi="Arial" w:cs="Arial"/>
                <w:sz w:val="22"/>
                <w:szCs w:val="22"/>
              </w:rPr>
              <w:t>onference in February 2016 chaired by Cllr Claire Hudson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78BA5A" w14:textId="77777777" w:rsidR="006C17C7" w:rsidRPr="00726213" w:rsidRDefault="006C17C7" w:rsidP="006C17C7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29B30EC7" w14:textId="6D8FC056" w:rsidR="00F50CB8" w:rsidRDefault="00917485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50CB8" w:rsidRPr="00726213">
              <w:rPr>
                <w:rFonts w:ascii="Arial" w:hAnsi="Arial" w:cs="Arial"/>
                <w:sz w:val="22"/>
                <w:szCs w:val="22"/>
              </w:rPr>
              <w:t xml:space="preserve">ommissioned research into impacts of the new raft of reforms being implemented by the current government, for completion </w:t>
            </w:r>
            <w:r w:rsidR="00F50CB8" w:rsidRPr="00726213">
              <w:rPr>
                <w:rFonts w:ascii="Arial" w:hAnsi="Arial" w:cs="Arial"/>
                <w:sz w:val="22"/>
                <w:szCs w:val="22"/>
              </w:rPr>
              <w:lastRenderedPageBreak/>
              <w:t>Autumn 2016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 xml:space="preserve">.  This includes refreshing the current impacts tracker on </w:t>
            </w:r>
            <w:proofErr w:type="spellStart"/>
            <w:r w:rsidR="00F1539B" w:rsidRPr="00726213">
              <w:rPr>
                <w:rFonts w:ascii="Arial" w:hAnsi="Arial" w:cs="Arial"/>
                <w:sz w:val="22"/>
                <w:szCs w:val="22"/>
              </w:rPr>
              <w:t>LGInform</w:t>
            </w:r>
            <w:proofErr w:type="spellEnd"/>
            <w:r w:rsidR="00F1539B" w:rsidRPr="00726213">
              <w:rPr>
                <w:rFonts w:ascii="Arial" w:hAnsi="Arial" w:cs="Arial"/>
                <w:sz w:val="22"/>
                <w:szCs w:val="22"/>
              </w:rPr>
              <w:t xml:space="preserve"> and continued work with the authorities who attended the February conference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5AD5DC" w14:textId="1FC125EA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53F983" w14:textId="77777777" w:rsidR="00F1539B" w:rsidRDefault="00F1539B" w:rsidP="00290400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 xml:space="preserve">Cllr David </w:t>
            </w:r>
            <w:proofErr w:type="spellStart"/>
            <w:r w:rsidRPr="00726213">
              <w:rPr>
                <w:rFonts w:ascii="Arial" w:hAnsi="Arial" w:cs="Arial"/>
                <w:sz w:val="22"/>
                <w:szCs w:val="22"/>
              </w:rPr>
              <w:t>Renard</w:t>
            </w:r>
            <w:proofErr w:type="spellEnd"/>
            <w:r w:rsidRPr="007262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400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Pr="00726213">
              <w:rPr>
                <w:rFonts w:ascii="Arial" w:hAnsi="Arial" w:cs="Arial"/>
                <w:sz w:val="22"/>
                <w:szCs w:val="22"/>
              </w:rPr>
              <w:t>sharing Swindon’s work on identifying and targeting households in need of additional support</w:t>
            </w:r>
            <w:r w:rsidR="002904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0218D4" w14:textId="50EBF150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E8" w:rsidRPr="00726213" w14:paraId="4350BF48" w14:textId="77777777" w:rsidTr="000265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7B6" w14:textId="41A6D39D" w:rsidR="00C031E8" w:rsidRPr="00726213" w:rsidRDefault="00C031E8" w:rsidP="00BF69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lastRenderedPageBreak/>
              <w:t>The central role of local government in supporting households affected by the reforms is recognised and adequately resourced</w:t>
            </w:r>
            <w:r w:rsidR="00F33A49" w:rsidRPr="007262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86CFF6A" w14:textId="77777777" w:rsidR="00C031E8" w:rsidRPr="00726213" w:rsidRDefault="00C031E8" w:rsidP="00BF69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7E3" w14:textId="00FFF19C" w:rsidR="00F50CB8" w:rsidRDefault="00F50CB8" w:rsidP="00F50C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Made a written submission and gave evidence (Cllr Fuller) to the Work and Pensions Committee Inquiry on Local Welfare</w:t>
            </w:r>
            <w:r w:rsidR="00C03C2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860FC1" w14:textId="77777777" w:rsidR="006C17C7" w:rsidRPr="006C17C7" w:rsidRDefault="006C17C7" w:rsidP="006C17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FB24A" w14:textId="4E7EAF6E" w:rsidR="00F50CB8" w:rsidRDefault="00F50CB8" w:rsidP="00F50C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Proposals for local safety net funding included in</w:t>
            </w:r>
            <w:r w:rsidR="00C03C28">
              <w:rPr>
                <w:rFonts w:ascii="Arial" w:hAnsi="Arial" w:cs="Arial"/>
                <w:sz w:val="22"/>
                <w:szCs w:val="22"/>
              </w:rPr>
              <w:t xml:space="preserve"> LGA’s </w:t>
            </w:r>
            <w:r w:rsidRPr="00726213">
              <w:rPr>
                <w:rFonts w:ascii="Arial" w:hAnsi="Arial" w:cs="Arial"/>
                <w:sz w:val="22"/>
                <w:szCs w:val="22"/>
              </w:rPr>
              <w:t>Business Rates work</w:t>
            </w:r>
            <w:r w:rsidR="00C03C2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0C8D33" w14:textId="77777777" w:rsidR="006C17C7" w:rsidRPr="00726213" w:rsidRDefault="006C17C7" w:rsidP="006C17C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402F744" w14:textId="07E6115D" w:rsidR="00F50CB8" w:rsidRDefault="00F50CB8" w:rsidP="00F50C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Working with</w:t>
            </w:r>
            <w:r w:rsidR="00C03C28">
              <w:rPr>
                <w:rFonts w:ascii="Arial" w:hAnsi="Arial" w:cs="Arial"/>
                <w:sz w:val="22"/>
                <w:szCs w:val="22"/>
              </w:rPr>
              <w:t xml:space="preserve"> Department for Communities and Local Government (</w:t>
            </w:r>
            <w:r w:rsidRPr="00726213">
              <w:rPr>
                <w:rFonts w:ascii="Arial" w:hAnsi="Arial" w:cs="Arial"/>
                <w:sz w:val="22"/>
                <w:szCs w:val="22"/>
              </w:rPr>
              <w:t>DCLG</w:t>
            </w:r>
            <w:r w:rsidR="00C03C28">
              <w:rPr>
                <w:rFonts w:ascii="Arial" w:hAnsi="Arial" w:cs="Arial"/>
                <w:sz w:val="22"/>
                <w:szCs w:val="22"/>
              </w:rPr>
              <w:t>)</w:t>
            </w:r>
            <w:r w:rsidRPr="00726213">
              <w:rPr>
                <w:rFonts w:ascii="Arial" w:hAnsi="Arial" w:cs="Arial"/>
                <w:sz w:val="22"/>
                <w:szCs w:val="22"/>
              </w:rPr>
              <w:t xml:space="preserve"> on Pay to Stay</w:t>
            </w:r>
            <w:r w:rsidR="00C03C28">
              <w:rPr>
                <w:rFonts w:ascii="Arial" w:hAnsi="Arial" w:cs="Arial"/>
                <w:sz w:val="22"/>
                <w:szCs w:val="22"/>
              </w:rPr>
              <w:t xml:space="preserve"> and Temporary 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>Accommodation management fee</w:t>
            </w:r>
            <w:r w:rsidR="00C03C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F150E0C" w14:textId="6AD8E48B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29B2F29" w14:textId="0A573AE0" w:rsidR="00F50CB8" w:rsidRDefault="00F50CB8" w:rsidP="00F50C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(Forthcoming) submission to W</w:t>
            </w:r>
            <w:r w:rsidR="00245B4C">
              <w:rPr>
                <w:rFonts w:ascii="Arial" w:hAnsi="Arial" w:cs="Arial"/>
                <w:sz w:val="22"/>
                <w:szCs w:val="22"/>
              </w:rPr>
              <w:t xml:space="preserve">ork and Pensions </w:t>
            </w:r>
            <w:r w:rsidRPr="00726213">
              <w:rPr>
                <w:rFonts w:ascii="Arial" w:hAnsi="Arial" w:cs="Arial"/>
                <w:sz w:val="22"/>
                <w:szCs w:val="22"/>
              </w:rPr>
              <w:t>Committee Inquiry on the future of</w:t>
            </w:r>
            <w:r w:rsidR="00245B4C">
              <w:rPr>
                <w:rFonts w:ascii="Arial" w:hAnsi="Arial" w:cs="Arial"/>
                <w:sz w:val="22"/>
                <w:szCs w:val="22"/>
              </w:rPr>
              <w:t xml:space="preserve"> Job Centre Plus (</w:t>
            </w:r>
            <w:r w:rsidRPr="00726213">
              <w:rPr>
                <w:rFonts w:ascii="Arial" w:hAnsi="Arial" w:cs="Arial"/>
                <w:sz w:val="22"/>
                <w:szCs w:val="22"/>
              </w:rPr>
              <w:t>JCP</w:t>
            </w:r>
            <w:r w:rsidR="00245B4C">
              <w:rPr>
                <w:rFonts w:ascii="Arial" w:hAnsi="Arial" w:cs="Arial"/>
                <w:sz w:val="22"/>
                <w:szCs w:val="22"/>
              </w:rPr>
              <w:t>)</w:t>
            </w:r>
            <w:r w:rsidRPr="00726213">
              <w:rPr>
                <w:rFonts w:ascii="Arial" w:hAnsi="Arial" w:cs="Arial"/>
                <w:sz w:val="22"/>
                <w:szCs w:val="22"/>
              </w:rPr>
              <w:t xml:space="preserve"> drawing on considerable work to date)</w:t>
            </w:r>
            <w:r w:rsidR="00245B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7ECB68" w14:textId="6D8608BB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6EBAA75" w14:textId="4F7A6CCE" w:rsidR="00FA3B05" w:rsidRPr="00726213" w:rsidRDefault="00FA3B05" w:rsidP="00F50C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Ongoing lobbying on the application of the Local Housing Allowance (LHA) to supported accommodation</w:t>
            </w:r>
            <w:r w:rsidR="00245B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6E5F74" w14:textId="508898F2" w:rsidR="00C031E8" w:rsidRPr="00726213" w:rsidRDefault="00C031E8" w:rsidP="00F50CB8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E8" w:rsidRPr="00726213" w14:paraId="58B80003" w14:textId="77777777" w:rsidTr="000265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682" w14:textId="5B1590D5" w:rsidR="00C031E8" w:rsidRPr="00726213" w:rsidRDefault="00C031E8" w:rsidP="00BF69F3">
            <w:pPr>
              <w:widowControl w:val="0"/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6213">
              <w:rPr>
                <w:rFonts w:ascii="Arial" w:hAnsi="Arial" w:cs="Arial"/>
                <w:b/>
                <w:sz w:val="22"/>
                <w:szCs w:val="22"/>
              </w:rPr>
              <w:t>Councils have the freedom, funding and flexibility to integrate services and to improve life chances for claimants through local approaches to employment, housing, social care, education and health</w:t>
            </w:r>
            <w:r w:rsidR="00CF752D" w:rsidRPr="007262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5C" w14:textId="528F6920" w:rsidR="00C031E8" w:rsidRDefault="00716EAF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50CB8" w:rsidRPr="00726213">
              <w:rPr>
                <w:rFonts w:ascii="Arial" w:hAnsi="Arial" w:cs="Arial"/>
                <w:sz w:val="22"/>
                <w:szCs w:val="22"/>
              </w:rPr>
              <w:t xml:space="preserve">ontributed to the Housing Commission </w:t>
            </w:r>
            <w:r w:rsidRPr="00726213">
              <w:rPr>
                <w:rFonts w:ascii="Arial" w:hAnsi="Arial" w:cs="Arial"/>
                <w:sz w:val="22"/>
                <w:szCs w:val="22"/>
              </w:rPr>
              <w:t>work stream</w:t>
            </w:r>
            <w:r w:rsidR="00F50CB8" w:rsidRPr="00726213">
              <w:rPr>
                <w:rFonts w:ascii="Arial" w:hAnsi="Arial" w:cs="Arial"/>
                <w:sz w:val="22"/>
                <w:szCs w:val="22"/>
              </w:rPr>
              <w:t xml:space="preserve"> on housing and employment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B739D1" w14:textId="77777777" w:rsidR="006C17C7" w:rsidRPr="00726213" w:rsidRDefault="006C17C7" w:rsidP="006C17C7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682C58BE" w14:textId="1BEEC7AC" w:rsidR="00F50CB8" w:rsidRDefault="00F50CB8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Partnership working with employment &amp; skills (see above)</w:t>
            </w:r>
            <w:r w:rsidR="00716EA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C27624" w14:textId="1B8AD9A2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8554E63" w14:textId="094D6822" w:rsidR="00F50CB8" w:rsidRDefault="00F50CB8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 xml:space="preserve">Submission to joint </w:t>
            </w:r>
            <w:r w:rsidR="00716EAF" w:rsidRPr="00726213">
              <w:rPr>
                <w:rFonts w:ascii="Arial" w:hAnsi="Arial" w:cs="Arial"/>
                <w:sz w:val="22"/>
                <w:szCs w:val="22"/>
              </w:rPr>
              <w:t>W</w:t>
            </w:r>
            <w:r w:rsidR="00716EAF">
              <w:rPr>
                <w:rFonts w:ascii="Arial" w:hAnsi="Arial" w:cs="Arial"/>
                <w:sz w:val="22"/>
                <w:szCs w:val="22"/>
              </w:rPr>
              <w:t xml:space="preserve">ork &amp; Pensions and Education </w:t>
            </w:r>
            <w:r w:rsidR="00716EAF" w:rsidRPr="00726213">
              <w:rPr>
                <w:rFonts w:ascii="Arial" w:hAnsi="Arial" w:cs="Arial"/>
                <w:sz w:val="22"/>
                <w:szCs w:val="22"/>
              </w:rPr>
              <w:t>Committee</w:t>
            </w:r>
            <w:r w:rsidRPr="00726213">
              <w:rPr>
                <w:rFonts w:ascii="Arial" w:hAnsi="Arial" w:cs="Arial"/>
                <w:sz w:val="22"/>
                <w:szCs w:val="22"/>
              </w:rPr>
              <w:t xml:space="preserve"> Inquiry on Life Chances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 xml:space="preserve"> (in partnership with C</w:t>
            </w:r>
            <w:r w:rsidR="00716EAF">
              <w:rPr>
                <w:rFonts w:ascii="Arial" w:hAnsi="Arial" w:cs="Arial"/>
                <w:sz w:val="22"/>
                <w:szCs w:val="22"/>
              </w:rPr>
              <w:t>hildren and Young People L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716EAF">
              <w:rPr>
                <w:rFonts w:ascii="Arial" w:hAnsi="Arial" w:cs="Arial"/>
                <w:sz w:val="22"/>
                <w:szCs w:val="22"/>
              </w:rPr>
              <w:t>M</w:t>
            </w:r>
            <w:r w:rsidR="00F1539B" w:rsidRPr="00726213">
              <w:rPr>
                <w:rFonts w:ascii="Arial" w:hAnsi="Arial" w:cs="Arial"/>
                <w:sz w:val="22"/>
                <w:szCs w:val="22"/>
              </w:rPr>
              <w:t>embers)</w:t>
            </w:r>
            <w:r w:rsidR="00716EA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829C8A" w14:textId="77777777" w:rsidR="006C17C7" w:rsidRPr="00726213" w:rsidRDefault="006C17C7" w:rsidP="006C17C7">
            <w:pPr>
              <w:pStyle w:val="ListParagraph"/>
              <w:ind w:left="269"/>
              <w:rPr>
                <w:rFonts w:ascii="Arial" w:hAnsi="Arial" w:cs="Arial"/>
                <w:sz w:val="22"/>
                <w:szCs w:val="22"/>
              </w:rPr>
            </w:pPr>
          </w:p>
          <w:p w14:paraId="10266A16" w14:textId="79A08AFC" w:rsidR="00F1539B" w:rsidRDefault="00F1539B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>Working with DWP on the design of the Life Chances strategy</w:t>
            </w:r>
            <w:r w:rsidR="00716EA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6AECFB" w14:textId="4193DB6D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3E1EE41" w14:textId="149B9A54" w:rsidR="00F50CB8" w:rsidRDefault="00F50CB8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 xml:space="preserve">Submission to </w:t>
            </w:r>
            <w:r w:rsidR="00A84F27" w:rsidRPr="00726213">
              <w:rPr>
                <w:rFonts w:ascii="Arial" w:hAnsi="Arial" w:cs="Arial"/>
                <w:sz w:val="22"/>
                <w:szCs w:val="22"/>
              </w:rPr>
              <w:t>W</w:t>
            </w:r>
            <w:r w:rsidR="00A84F27">
              <w:rPr>
                <w:rFonts w:ascii="Arial" w:hAnsi="Arial" w:cs="Arial"/>
                <w:sz w:val="22"/>
                <w:szCs w:val="22"/>
              </w:rPr>
              <w:t xml:space="preserve">ork &amp; Pensions </w:t>
            </w:r>
            <w:r w:rsidRPr="00726213">
              <w:rPr>
                <w:rFonts w:ascii="Arial" w:hAnsi="Arial" w:cs="Arial"/>
                <w:sz w:val="22"/>
                <w:szCs w:val="22"/>
              </w:rPr>
              <w:t>Committee Inquiry on Intergenerational Fairness</w:t>
            </w:r>
            <w:r w:rsidR="00A84F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AE0225" w14:textId="682EE260" w:rsidR="006C17C7" w:rsidRPr="006C17C7" w:rsidRDefault="006C17C7" w:rsidP="006C17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809BD82" w14:textId="307C3686" w:rsidR="00F50CB8" w:rsidRPr="00726213" w:rsidRDefault="00F50CB8" w:rsidP="00C031E8">
            <w:pPr>
              <w:pStyle w:val="ListParagraph"/>
              <w:numPr>
                <w:ilvl w:val="1"/>
                <w:numId w:val="17"/>
              </w:numPr>
              <w:ind w:left="269"/>
              <w:rPr>
                <w:rFonts w:ascii="Arial" w:hAnsi="Arial" w:cs="Arial"/>
                <w:sz w:val="22"/>
                <w:szCs w:val="22"/>
              </w:rPr>
            </w:pPr>
            <w:r w:rsidRPr="00726213">
              <w:rPr>
                <w:rFonts w:ascii="Arial" w:hAnsi="Arial" w:cs="Arial"/>
                <w:sz w:val="22"/>
                <w:szCs w:val="22"/>
              </w:rPr>
              <w:t xml:space="preserve">Cllr Sue Murphy contributed to a recent </w:t>
            </w:r>
            <w:proofErr w:type="spellStart"/>
            <w:r w:rsidRPr="00726213">
              <w:rPr>
                <w:rFonts w:ascii="Arial" w:hAnsi="Arial" w:cs="Arial"/>
                <w:sz w:val="22"/>
                <w:szCs w:val="22"/>
              </w:rPr>
              <w:t>Civitas</w:t>
            </w:r>
            <w:proofErr w:type="spellEnd"/>
            <w:r w:rsidRPr="00726213">
              <w:rPr>
                <w:rFonts w:ascii="Arial" w:hAnsi="Arial" w:cs="Arial"/>
                <w:sz w:val="22"/>
                <w:szCs w:val="22"/>
              </w:rPr>
              <w:t xml:space="preserve"> round table on in-work progression, and is due to contribute to a forthcoming round table on the Work &amp; Health programme</w:t>
            </w:r>
            <w:r w:rsidR="00A84F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F015CB3" w14:textId="4D7E1372" w:rsidR="00C031E8" w:rsidRPr="00726213" w:rsidRDefault="00C031E8" w:rsidP="00CF752D">
      <w:pPr>
        <w:pStyle w:val="PlainText"/>
        <w:rPr>
          <w:rFonts w:cs="Arial"/>
          <w:szCs w:val="22"/>
        </w:rPr>
      </w:pPr>
    </w:p>
    <w:sectPr w:rsidR="00C031E8" w:rsidRPr="00726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CA73" w14:textId="77777777" w:rsidR="008E25A3" w:rsidRDefault="008E25A3" w:rsidP="0023228A">
      <w:r>
        <w:separator/>
      </w:r>
    </w:p>
  </w:endnote>
  <w:endnote w:type="continuationSeparator" w:id="0">
    <w:p w14:paraId="54CEBE6A" w14:textId="77777777" w:rsidR="008E25A3" w:rsidRDefault="008E25A3" w:rsidP="002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27F7" w14:textId="77777777" w:rsidR="00FB4428" w:rsidRDefault="00FB4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11FA" w14:textId="77777777" w:rsidR="00FB4428" w:rsidRDefault="00FB44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6FB3" w14:textId="77777777" w:rsidR="00FB4428" w:rsidRDefault="00FB4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AFC8A" w14:textId="77777777" w:rsidR="008E25A3" w:rsidRDefault="008E25A3" w:rsidP="0023228A">
      <w:r>
        <w:separator/>
      </w:r>
    </w:p>
  </w:footnote>
  <w:footnote w:type="continuationSeparator" w:id="0">
    <w:p w14:paraId="024E6E95" w14:textId="77777777" w:rsidR="008E25A3" w:rsidRDefault="008E25A3" w:rsidP="0023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4802" w14:textId="77777777" w:rsidR="00FB4428" w:rsidRDefault="00FB4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8" w:type="dxa"/>
      <w:tblLook w:val="01E0" w:firstRow="1" w:lastRow="1" w:firstColumn="1" w:lastColumn="1" w:noHBand="0" w:noVBand="0"/>
    </w:tblPr>
    <w:tblGrid>
      <w:gridCol w:w="5495"/>
      <w:gridCol w:w="3273"/>
    </w:tblGrid>
    <w:tr w:rsidR="008E25A3" w:rsidRPr="0023228A" w14:paraId="30553601" w14:textId="77777777" w:rsidTr="009F6821">
      <w:tc>
        <w:tcPr>
          <w:tcW w:w="5495" w:type="dxa"/>
          <w:vMerge w:val="restart"/>
          <w:hideMark/>
        </w:tcPr>
        <w:p w14:paraId="208574D4" w14:textId="1B079DB4" w:rsidR="008E25A3" w:rsidRPr="0023228A" w:rsidRDefault="008E25A3">
          <w:pPr>
            <w:pStyle w:val="Header"/>
            <w:tabs>
              <w:tab w:val="center" w:pos="2923"/>
            </w:tabs>
            <w:rPr>
              <w:rFonts w:ascii="Arial" w:hAnsi="Arial" w:cs="Arial"/>
              <w:sz w:val="22"/>
              <w:szCs w:val="22"/>
            </w:rPr>
          </w:pPr>
          <w:r w:rsidRPr="0023228A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5852912" wp14:editId="1F6C5BB9">
                <wp:extent cx="1432560" cy="84582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3228A"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3273" w:type="dxa"/>
          <w:hideMark/>
        </w:tcPr>
        <w:p w14:paraId="07ADA3F3" w14:textId="77777777" w:rsidR="008E25A3" w:rsidRDefault="008E25A3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  <w:p w14:paraId="3ADFA1F6" w14:textId="62D3FED2" w:rsidR="008E25A3" w:rsidRPr="0023228A" w:rsidRDefault="008E25A3" w:rsidP="001B33E1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Resources Portfolio </w:t>
          </w:r>
        </w:p>
      </w:tc>
    </w:tr>
    <w:tr w:rsidR="008E25A3" w:rsidRPr="0023228A" w14:paraId="2B772D81" w14:textId="77777777" w:rsidTr="009F6821">
      <w:trPr>
        <w:trHeight w:val="605"/>
      </w:trPr>
      <w:tc>
        <w:tcPr>
          <w:tcW w:w="5495" w:type="dxa"/>
          <w:vMerge/>
          <w:vAlign w:val="center"/>
          <w:hideMark/>
        </w:tcPr>
        <w:p w14:paraId="5005A3D2" w14:textId="77777777" w:rsidR="008E25A3" w:rsidRPr="0023228A" w:rsidRDefault="008E25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73" w:type="dxa"/>
          <w:hideMark/>
        </w:tcPr>
        <w:p w14:paraId="7702E16D" w14:textId="77777777" w:rsidR="008E25A3" w:rsidRDefault="008E25A3" w:rsidP="001B33E1">
          <w:pPr>
            <w:pStyle w:val="Header"/>
            <w:spacing w:before="60"/>
            <w:rPr>
              <w:rFonts w:ascii="Arial" w:hAnsi="Arial" w:cs="Arial"/>
              <w:sz w:val="22"/>
              <w:szCs w:val="22"/>
            </w:rPr>
          </w:pPr>
        </w:p>
        <w:p w14:paraId="036A98DE" w14:textId="09EBAD98" w:rsidR="001D0EA7" w:rsidRPr="0023228A" w:rsidRDefault="00FB4428" w:rsidP="00FB4428">
          <w:pPr>
            <w:pStyle w:val="Header"/>
            <w:spacing w:before="6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</w:t>
          </w:r>
          <w:bookmarkStart w:id="0" w:name="_GoBack"/>
          <w:bookmarkEnd w:id="0"/>
          <w:r w:rsidR="001D0EA7">
            <w:rPr>
              <w:rFonts w:ascii="Arial" w:hAnsi="Arial" w:cs="Arial"/>
              <w:sz w:val="22"/>
              <w:szCs w:val="22"/>
            </w:rPr>
            <w:t>1 April 2016</w:t>
          </w:r>
        </w:p>
      </w:tc>
    </w:tr>
    <w:tr w:rsidR="008E25A3" w:rsidRPr="0023228A" w14:paraId="040B3522" w14:textId="77777777" w:rsidTr="009F6821">
      <w:trPr>
        <w:trHeight w:val="68"/>
      </w:trPr>
      <w:tc>
        <w:tcPr>
          <w:tcW w:w="5495" w:type="dxa"/>
          <w:vMerge/>
          <w:vAlign w:val="center"/>
          <w:hideMark/>
        </w:tcPr>
        <w:p w14:paraId="161971D3" w14:textId="77777777" w:rsidR="008E25A3" w:rsidRPr="0023228A" w:rsidRDefault="008E25A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73" w:type="dxa"/>
        </w:tcPr>
        <w:p w14:paraId="69307BD3" w14:textId="77777777" w:rsidR="008E25A3" w:rsidRPr="0023228A" w:rsidRDefault="008E25A3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7D1A9463" w14:textId="77777777" w:rsidR="008E25A3" w:rsidRDefault="008E25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2653" w14:textId="77777777" w:rsidR="00FB4428" w:rsidRDefault="00FB4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F6A"/>
    <w:multiLevelType w:val="hybridMultilevel"/>
    <w:tmpl w:val="AE2C5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31642"/>
    <w:multiLevelType w:val="hybridMultilevel"/>
    <w:tmpl w:val="3A0C7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13963"/>
    <w:multiLevelType w:val="multilevel"/>
    <w:tmpl w:val="6478C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21128"/>
    <w:multiLevelType w:val="multilevel"/>
    <w:tmpl w:val="160E7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B34297"/>
    <w:multiLevelType w:val="hybridMultilevel"/>
    <w:tmpl w:val="EFB21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20513"/>
    <w:multiLevelType w:val="hybridMultilevel"/>
    <w:tmpl w:val="75B4F382"/>
    <w:lvl w:ilvl="0" w:tplc="EB247C8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126"/>
    <w:multiLevelType w:val="hybridMultilevel"/>
    <w:tmpl w:val="A45C0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D7735"/>
    <w:multiLevelType w:val="hybridMultilevel"/>
    <w:tmpl w:val="0DDE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716"/>
    <w:multiLevelType w:val="hybridMultilevel"/>
    <w:tmpl w:val="91C8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678DC"/>
    <w:multiLevelType w:val="hybridMultilevel"/>
    <w:tmpl w:val="AA146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45C12"/>
    <w:multiLevelType w:val="hybridMultilevel"/>
    <w:tmpl w:val="09C63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D1E0D"/>
    <w:multiLevelType w:val="hybridMultilevel"/>
    <w:tmpl w:val="6CD0F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E5976"/>
    <w:multiLevelType w:val="hybridMultilevel"/>
    <w:tmpl w:val="365E2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A4A32"/>
    <w:multiLevelType w:val="hybridMultilevel"/>
    <w:tmpl w:val="BC8E2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796C"/>
    <w:multiLevelType w:val="hybridMultilevel"/>
    <w:tmpl w:val="6140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E1F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F9A"/>
    <w:multiLevelType w:val="multilevel"/>
    <w:tmpl w:val="0E02D6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61" w:hanging="65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6"/>
      </w:rPr>
    </w:lvl>
  </w:abstractNum>
  <w:abstractNum w:abstractNumId="16" w15:restartNumberingAfterBreak="0">
    <w:nsid w:val="6C793403"/>
    <w:multiLevelType w:val="multilevel"/>
    <w:tmpl w:val="05C0D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236E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D448ED"/>
    <w:multiLevelType w:val="hybridMultilevel"/>
    <w:tmpl w:val="E8FEE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E0699"/>
    <w:multiLevelType w:val="hybridMultilevel"/>
    <w:tmpl w:val="7AE8BD2A"/>
    <w:lvl w:ilvl="0" w:tplc="AF32BE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A7C38F6"/>
    <w:multiLevelType w:val="hybridMultilevel"/>
    <w:tmpl w:val="E886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CC9"/>
    <w:multiLevelType w:val="hybridMultilevel"/>
    <w:tmpl w:val="A858A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17"/>
  </w:num>
  <w:num w:numId="8">
    <w:abstractNumId w:val="5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21"/>
  </w:num>
  <w:num w:numId="14">
    <w:abstractNumId w:val="6"/>
  </w:num>
  <w:num w:numId="15">
    <w:abstractNumId w:val="18"/>
  </w:num>
  <w:num w:numId="16">
    <w:abstractNumId w:val="1"/>
  </w:num>
  <w:num w:numId="17">
    <w:abstractNumId w:val="12"/>
  </w:num>
  <w:num w:numId="18">
    <w:abstractNumId w:val="12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A3"/>
    <w:rsid w:val="00010D20"/>
    <w:rsid w:val="00010FA3"/>
    <w:rsid w:val="000240E1"/>
    <w:rsid w:val="000265B4"/>
    <w:rsid w:val="00043B8A"/>
    <w:rsid w:val="0004409F"/>
    <w:rsid w:val="000476B6"/>
    <w:rsid w:val="00050E17"/>
    <w:rsid w:val="00052770"/>
    <w:rsid w:val="0006139A"/>
    <w:rsid w:val="0006352B"/>
    <w:rsid w:val="0006436E"/>
    <w:rsid w:val="0007029F"/>
    <w:rsid w:val="00072802"/>
    <w:rsid w:val="000942AD"/>
    <w:rsid w:val="00097173"/>
    <w:rsid w:val="000971FB"/>
    <w:rsid w:val="000B4420"/>
    <w:rsid w:val="000B4A17"/>
    <w:rsid w:val="000B628E"/>
    <w:rsid w:val="000C00AB"/>
    <w:rsid w:val="000C49B8"/>
    <w:rsid w:val="000E493F"/>
    <w:rsid w:val="000E660A"/>
    <w:rsid w:val="001037F2"/>
    <w:rsid w:val="00111C14"/>
    <w:rsid w:val="00125666"/>
    <w:rsid w:val="00137903"/>
    <w:rsid w:val="00166A74"/>
    <w:rsid w:val="00166C82"/>
    <w:rsid w:val="001800ED"/>
    <w:rsid w:val="00180D5F"/>
    <w:rsid w:val="00186B9C"/>
    <w:rsid w:val="0018765A"/>
    <w:rsid w:val="001A0138"/>
    <w:rsid w:val="001A2F3A"/>
    <w:rsid w:val="001A3684"/>
    <w:rsid w:val="001A525B"/>
    <w:rsid w:val="001B2692"/>
    <w:rsid w:val="001B27C4"/>
    <w:rsid w:val="001B33E1"/>
    <w:rsid w:val="001B3AC0"/>
    <w:rsid w:val="001B719A"/>
    <w:rsid w:val="001C2434"/>
    <w:rsid w:val="001D0EA7"/>
    <w:rsid w:val="001D4A67"/>
    <w:rsid w:val="001D6B8C"/>
    <w:rsid w:val="001F7F20"/>
    <w:rsid w:val="002156B1"/>
    <w:rsid w:val="00215B80"/>
    <w:rsid w:val="002257B1"/>
    <w:rsid w:val="0023228A"/>
    <w:rsid w:val="00234DC9"/>
    <w:rsid w:val="00245B4C"/>
    <w:rsid w:val="002640EA"/>
    <w:rsid w:val="002729C0"/>
    <w:rsid w:val="002756C9"/>
    <w:rsid w:val="00277F3D"/>
    <w:rsid w:val="00284735"/>
    <w:rsid w:val="00290400"/>
    <w:rsid w:val="00290B70"/>
    <w:rsid w:val="00294166"/>
    <w:rsid w:val="002D07A4"/>
    <w:rsid w:val="002D1B3A"/>
    <w:rsid w:val="002D6576"/>
    <w:rsid w:val="002E1899"/>
    <w:rsid w:val="002E77BF"/>
    <w:rsid w:val="00305A95"/>
    <w:rsid w:val="003202FC"/>
    <w:rsid w:val="003233DF"/>
    <w:rsid w:val="00326684"/>
    <w:rsid w:val="00330E5B"/>
    <w:rsid w:val="003351EA"/>
    <w:rsid w:val="0033630B"/>
    <w:rsid w:val="003420E4"/>
    <w:rsid w:val="00346B8A"/>
    <w:rsid w:val="00351E72"/>
    <w:rsid w:val="0036212F"/>
    <w:rsid w:val="00375B4B"/>
    <w:rsid w:val="003862C1"/>
    <w:rsid w:val="00386F1E"/>
    <w:rsid w:val="00387DFB"/>
    <w:rsid w:val="00391B9C"/>
    <w:rsid w:val="00392BE2"/>
    <w:rsid w:val="00393998"/>
    <w:rsid w:val="003B4B25"/>
    <w:rsid w:val="003B5319"/>
    <w:rsid w:val="003B6114"/>
    <w:rsid w:val="003B7CE0"/>
    <w:rsid w:val="003C207B"/>
    <w:rsid w:val="003C7FC9"/>
    <w:rsid w:val="003D2357"/>
    <w:rsid w:val="003D7A0C"/>
    <w:rsid w:val="003D7C3E"/>
    <w:rsid w:val="003E17D5"/>
    <w:rsid w:val="0040219F"/>
    <w:rsid w:val="00404EF7"/>
    <w:rsid w:val="004069BE"/>
    <w:rsid w:val="00410304"/>
    <w:rsid w:val="0042281E"/>
    <w:rsid w:val="00443959"/>
    <w:rsid w:val="004445C3"/>
    <w:rsid w:val="0045307F"/>
    <w:rsid w:val="00471131"/>
    <w:rsid w:val="00477D5B"/>
    <w:rsid w:val="00495D80"/>
    <w:rsid w:val="004C1E1D"/>
    <w:rsid w:val="004C662F"/>
    <w:rsid w:val="004D2403"/>
    <w:rsid w:val="004D2782"/>
    <w:rsid w:val="004D3ECA"/>
    <w:rsid w:val="004D449F"/>
    <w:rsid w:val="004E4B63"/>
    <w:rsid w:val="004E74CC"/>
    <w:rsid w:val="004F2109"/>
    <w:rsid w:val="004F7384"/>
    <w:rsid w:val="0051352E"/>
    <w:rsid w:val="005163F9"/>
    <w:rsid w:val="00521DF2"/>
    <w:rsid w:val="005223C9"/>
    <w:rsid w:val="00534B51"/>
    <w:rsid w:val="00550A20"/>
    <w:rsid w:val="005575CD"/>
    <w:rsid w:val="00560895"/>
    <w:rsid w:val="00564EF5"/>
    <w:rsid w:val="00567797"/>
    <w:rsid w:val="005800B1"/>
    <w:rsid w:val="00594693"/>
    <w:rsid w:val="005A2508"/>
    <w:rsid w:val="005A73ED"/>
    <w:rsid w:val="005B7E74"/>
    <w:rsid w:val="005C37E0"/>
    <w:rsid w:val="005C4641"/>
    <w:rsid w:val="005C51C4"/>
    <w:rsid w:val="005F0C8F"/>
    <w:rsid w:val="005F0E39"/>
    <w:rsid w:val="005F1FC4"/>
    <w:rsid w:val="005F240B"/>
    <w:rsid w:val="005F3B65"/>
    <w:rsid w:val="00602489"/>
    <w:rsid w:val="00617493"/>
    <w:rsid w:val="00622680"/>
    <w:rsid w:val="00640F21"/>
    <w:rsid w:val="006433D8"/>
    <w:rsid w:val="00645FA8"/>
    <w:rsid w:val="0065427D"/>
    <w:rsid w:val="0065551A"/>
    <w:rsid w:val="006570F4"/>
    <w:rsid w:val="00670138"/>
    <w:rsid w:val="006709C7"/>
    <w:rsid w:val="006714AD"/>
    <w:rsid w:val="006741B0"/>
    <w:rsid w:val="00685E64"/>
    <w:rsid w:val="006937E4"/>
    <w:rsid w:val="00695B0F"/>
    <w:rsid w:val="006B0AD6"/>
    <w:rsid w:val="006C1188"/>
    <w:rsid w:val="006C17C7"/>
    <w:rsid w:val="006D0FE0"/>
    <w:rsid w:val="006D31BA"/>
    <w:rsid w:val="006E40AA"/>
    <w:rsid w:val="006F2A04"/>
    <w:rsid w:val="00700A93"/>
    <w:rsid w:val="007017F2"/>
    <w:rsid w:val="00703830"/>
    <w:rsid w:val="0070501C"/>
    <w:rsid w:val="00710365"/>
    <w:rsid w:val="00712219"/>
    <w:rsid w:val="00716EAF"/>
    <w:rsid w:val="007209FE"/>
    <w:rsid w:val="0072159E"/>
    <w:rsid w:val="00722A84"/>
    <w:rsid w:val="00726213"/>
    <w:rsid w:val="00734568"/>
    <w:rsid w:val="007458F1"/>
    <w:rsid w:val="007706D2"/>
    <w:rsid w:val="007921D3"/>
    <w:rsid w:val="00793DB1"/>
    <w:rsid w:val="007C156F"/>
    <w:rsid w:val="007D201B"/>
    <w:rsid w:val="007D4104"/>
    <w:rsid w:val="007F3BF6"/>
    <w:rsid w:val="00807488"/>
    <w:rsid w:val="00816CC7"/>
    <w:rsid w:val="00820A14"/>
    <w:rsid w:val="0082547C"/>
    <w:rsid w:val="008311BA"/>
    <w:rsid w:val="00831ACF"/>
    <w:rsid w:val="00832F5A"/>
    <w:rsid w:val="0083321E"/>
    <w:rsid w:val="008344C1"/>
    <w:rsid w:val="008428DE"/>
    <w:rsid w:val="008503FC"/>
    <w:rsid w:val="00855C7C"/>
    <w:rsid w:val="0087282D"/>
    <w:rsid w:val="0087344C"/>
    <w:rsid w:val="00891CC0"/>
    <w:rsid w:val="008A1B30"/>
    <w:rsid w:val="008A3908"/>
    <w:rsid w:val="008A5270"/>
    <w:rsid w:val="008B5C54"/>
    <w:rsid w:val="008C41B8"/>
    <w:rsid w:val="008E25A3"/>
    <w:rsid w:val="009036FE"/>
    <w:rsid w:val="00917485"/>
    <w:rsid w:val="0092317C"/>
    <w:rsid w:val="009254B8"/>
    <w:rsid w:val="00926DA2"/>
    <w:rsid w:val="00944A36"/>
    <w:rsid w:val="009547A5"/>
    <w:rsid w:val="00954A59"/>
    <w:rsid w:val="00956282"/>
    <w:rsid w:val="0095737D"/>
    <w:rsid w:val="009601B3"/>
    <w:rsid w:val="00971EE9"/>
    <w:rsid w:val="00973644"/>
    <w:rsid w:val="009B3EB9"/>
    <w:rsid w:val="009C0B58"/>
    <w:rsid w:val="009C27C6"/>
    <w:rsid w:val="009C2BF3"/>
    <w:rsid w:val="009C3CA6"/>
    <w:rsid w:val="009C5A19"/>
    <w:rsid w:val="009E5DE5"/>
    <w:rsid w:val="009F6821"/>
    <w:rsid w:val="00A013E1"/>
    <w:rsid w:val="00A02146"/>
    <w:rsid w:val="00A0513A"/>
    <w:rsid w:val="00A12B6C"/>
    <w:rsid w:val="00A15F9F"/>
    <w:rsid w:val="00A17745"/>
    <w:rsid w:val="00A359DF"/>
    <w:rsid w:val="00A60DD9"/>
    <w:rsid w:val="00A65AEA"/>
    <w:rsid w:val="00A7514A"/>
    <w:rsid w:val="00A84F27"/>
    <w:rsid w:val="00AA2D2D"/>
    <w:rsid w:val="00AB191A"/>
    <w:rsid w:val="00AB7BDB"/>
    <w:rsid w:val="00AC1A1F"/>
    <w:rsid w:val="00AC432E"/>
    <w:rsid w:val="00AE0072"/>
    <w:rsid w:val="00AE0445"/>
    <w:rsid w:val="00AE2811"/>
    <w:rsid w:val="00AE704D"/>
    <w:rsid w:val="00AF4C45"/>
    <w:rsid w:val="00B0130F"/>
    <w:rsid w:val="00B05C59"/>
    <w:rsid w:val="00B12F85"/>
    <w:rsid w:val="00B25548"/>
    <w:rsid w:val="00B317A3"/>
    <w:rsid w:val="00B62C23"/>
    <w:rsid w:val="00B63EE5"/>
    <w:rsid w:val="00B66DB3"/>
    <w:rsid w:val="00B72237"/>
    <w:rsid w:val="00B7602E"/>
    <w:rsid w:val="00B8005F"/>
    <w:rsid w:val="00B911ED"/>
    <w:rsid w:val="00B97EB1"/>
    <w:rsid w:val="00BA0B34"/>
    <w:rsid w:val="00BA349D"/>
    <w:rsid w:val="00BB3EBD"/>
    <w:rsid w:val="00BB714A"/>
    <w:rsid w:val="00BC7D48"/>
    <w:rsid w:val="00BF1D9A"/>
    <w:rsid w:val="00BF69F3"/>
    <w:rsid w:val="00BF6D68"/>
    <w:rsid w:val="00C00F30"/>
    <w:rsid w:val="00C031E8"/>
    <w:rsid w:val="00C03C28"/>
    <w:rsid w:val="00C3294B"/>
    <w:rsid w:val="00C346D4"/>
    <w:rsid w:val="00C46387"/>
    <w:rsid w:val="00C5037E"/>
    <w:rsid w:val="00C66B1B"/>
    <w:rsid w:val="00C7408D"/>
    <w:rsid w:val="00C80310"/>
    <w:rsid w:val="00C83BAD"/>
    <w:rsid w:val="00C8494E"/>
    <w:rsid w:val="00C956C5"/>
    <w:rsid w:val="00CA05D8"/>
    <w:rsid w:val="00CA0D80"/>
    <w:rsid w:val="00CA2CEC"/>
    <w:rsid w:val="00CB0344"/>
    <w:rsid w:val="00CC23FC"/>
    <w:rsid w:val="00CD5782"/>
    <w:rsid w:val="00CF1C38"/>
    <w:rsid w:val="00CF752D"/>
    <w:rsid w:val="00CF774E"/>
    <w:rsid w:val="00D03AF4"/>
    <w:rsid w:val="00D254F8"/>
    <w:rsid w:val="00D26F4C"/>
    <w:rsid w:val="00D30E78"/>
    <w:rsid w:val="00D324C2"/>
    <w:rsid w:val="00D52743"/>
    <w:rsid w:val="00D530A6"/>
    <w:rsid w:val="00D54893"/>
    <w:rsid w:val="00D5771A"/>
    <w:rsid w:val="00D6316A"/>
    <w:rsid w:val="00D678ED"/>
    <w:rsid w:val="00D74CA3"/>
    <w:rsid w:val="00D905C7"/>
    <w:rsid w:val="00DA08FF"/>
    <w:rsid w:val="00DA12F2"/>
    <w:rsid w:val="00DB2D70"/>
    <w:rsid w:val="00DB6DE5"/>
    <w:rsid w:val="00E05942"/>
    <w:rsid w:val="00E065DC"/>
    <w:rsid w:val="00E262A4"/>
    <w:rsid w:val="00E32EAE"/>
    <w:rsid w:val="00E33471"/>
    <w:rsid w:val="00E3451D"/>
    <w:rsid w:val="00E42A95"/>
    <w:rsid w:val="00E47812"/>
    <w:rsid w:val="00E74C0A"/>
    <w:rsid w:val="00E852BD"/>
    <w:rsid w:val="00E95430"/>
    <w:rsid w:val="00EA2FE2"/>
    <w:rsid w:val="00EA309F"/>
    <w:rsid w:val="00EA45E4"/>
    <w:rsid w:val="00EB53E9"/>
    <w:rsid w:val="00EC1F28"/>
    <w:rsid w:val="00EC47BB"/>
    <w:rsid w:val="00EC7928"/>
    <w:rsid w:val="00EC79BC"/>
    <w:rsid w:val="00ED14E1"/>
    <w:rsid w:val="00ED29EF"/>
    <w:rsid w:val="00ED6E75"/>
    <w:rsid w:val="00EE4178"/>
    <w:rsid w:val="00EE44A0"/>
    <w:rsid w:val="00EF1121"/>
    <w:rsid w:val="00F1539B"/>
    <w:rsid w:val="00F24FCA"/>
    <w:rsid w:val="00F276F0"/>
    <w:rsid w:val="00F3047C"/>
    <w:rsid w:val="00F33A49"/>
    <w:rsid w:val="00F34C3A"/>
    <w:rsid w:val="00F50CB8"/>
    <w:rsid w:val="00F5225A"/>
    <w:rsid w:val="00F74A90"/>
    <w:rsid w:val="00F816DF"/>
    <w:rsid w:val="00F84378"/>
    <w:rsid w:val="00F84899"/>
    <w:rsid w:val="00F92E6B"/>
    <w:rsid w:val="00FA3B05"/>
    <w:rsid w:val="00FA5416"/>
    <w:rsid w:val="00FB17B7"/>
    <w:rsid w:val="00FB4428"/>
    <w:rsid w:val="00FC34E6"/>
    <w:rsid w:val="00FD4CFD"/>
    <w:rsid w:val="00FE49EC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096E3"/>
  <w15:docId w15:val="{8A0511AB-5233-452B-9046-7A51B98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0FA3"/>
    <w:rPr>
      <w:rFonts w:ascii="Arial" w:eastAsiaTheme="minorHAnsi" w:hAnsi="Arial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0FA3"/>
    <w:rPr>
      <w:rFonts w:ascii="Arial" w:eastAsiaTheme="minorHAnsi" w:hAnsi="Arial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93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4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2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94B"/>
  </w:style>
  <w:style w:type="paragraph" w:styleId="CommentSubject">
    <w:name w:val="annotation subject"/>
    <w:basedOn w:val="CommentText"/>
    <w:next w:val="CommentText"/>
    <w:link w:val="CommentSubjectChar"/>
    <w:rsid w:val="00C32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294B"/>
    <w:rPr>
      <w:b/>
      <w:bCs/>
    </w:rPr>
  </w:style>
  <w:style w:type="paragraph" w:styleId="Header">
    <w:name w:val="header"/>
    <w:basedOn w:val="Normal"/>
    <w:link w:val="HeaderChar"/>
    <w:rsid w:val="00232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228A"/>
    <w:rPr>
      <w:sz w:val="24"/>
      <w:szCs w:val="24"/>
    </w:rPr>
  </w:style>
  <w:style w:type="paragraph" w:styleId="Footer">
    <w:name w:val="footer"/>
    <w:basedOn w:val="Normal"/>
    <w:link w:val="FooterChar"/>
    <w:rsid w:val="00232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228A"/>
    <w:rPr>
      <w:sz w:val="24"/>
      <w:szCs w:val="24"/>
    </w:rPr>
  </w:style>
  <w:style w:type="character" w:styleId="Hyperlink">
    <w:name w:val="Hyperlink"/>
    <w:basedOn w:val="DefaultParagraphFont"/>
    <w:unhideWhenUsed/>
    <w:rsid w:val="00534B51"/>
    <w:rPr>
      <w:color w:val="0000FF" w:themeColor="hyperlink"/>
      <w:u w:val="single"/>
    </w:rPr>
  </w:style>
  <w:style w:type="character" w:customStyle="1" w:styleId="MainTextChar">
    <w:name w:val="Main Text Char"/>
    <w:link w:val="MainText"/>
    <w:locked/>
    <w:rsid w:val="00180D5F"/>
    <w:rPr>
      <w:rFonts w:ascii="Frutiger 45 Light" w:hAnsi="Frutiger 45 Light"/>
      <w:lang w:val="x-none" w:eastAsia="x-none"/>
    </w:rPr>
  </w:style>
  <w:style w:type="paragraph" w:customStyle="1" w:styleId="MainText">
    <w:name w:val="Main Text"/>
    <w:basedOn w:val="Normal"/>
    <w:link w:val="MainTextChar"/>
    <w:rsid w:val="00180D5F"/>
    <w:pPr>
      <w:spacing w:line="280" w:lineRule="exact"/>
    </w:pPr>
    <w:rPr>
      <w:rFonts w:ascii="Frutiger 45 Light" w:hAnsi="Frutiger 45 Light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180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D5F"/>
  </w:style>
  <w:style w:type="character" w:styleId="FootnoteReference">
    <w:name w:val="footnote reference"/>
    <w:basedOn w:val="DefaultParagraphFont"/>
    <w:unhideWhenUsed/>
    <w:rsid w:val="00180D5F"/>
    <w:rPr>
      <w:vertAlign w:val="superscript"/>
    </w:rPr>
  </w:style>
  <w:style w:type="table" w:styleId="TableGrid">
    <w:name w:val="Table Grid"/>
    <w:basedOn w:val="TableNormal"/>
    <w:uiPriority w:val="59"/>
    <w:rsid w:val="00180D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40F21"/>
    <w:rPr>
      <w:b/>
      <w:bCs/>
      <w:i w:val="0"/>
      <w:iCs w:val="0"/>
    </w:rPr>
  </w:style>
  <w:style w:type="character" w:customStyle="1" w:styleId="st">
    <w:name w:val="st"/>
    <w:basedOn w:val="DefaultParagraphFont"/>
    <w:rsid w:val="0027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8E5C7F9D9040A5AEFB7288B7574E" ma:contentTypeVersion="4" ma:contentTypeDescription="Create a new document." ma:contentTypeScope="" ma:versionID="5016c54474e6874afb4d334ad5ba639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7C73-6C83-4B03-8BE0-924F4F2B7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307CB-F937-4ADB-8D6D-007AA6E2D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C06B4-FD4D-416A-9F52-13E0922C4013}">
  <ds:schemaRefs>
    <ds:schemaRef ds:uri="c8febe6a-14d9-43ab-83c3-c48f478fa47c"/>
    <ds:schemaRef ds:uri="http://purl.org/dc/terms/"/>
    <ds:schemaRef ds:uri="1c8a0e75-f4bc-4eb4-8ed0-578eaea9e1c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2D83C7-8565-4F3A-B681-6635B56D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42F6C8D.dotm</Template>
  <TotalTime>200</TotalTime>
  <Pages>2</Pages>
  <Words>573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Hughes</dc:creator>
  <cp:lastModifiedBy>Frances Marshall</cp:lastModifiedBy>
  <cp:revision>59</cp:revision>
  <cp:lastPrinted>2015-08-17T14:59:00Z</cp:lastPrinted>
  <dcterms:created xsi:type="dcterms:W3CDTF">2016-04-13T12:45:00Z</dcterms:created>
  <dcterms:modified xsi:type="dcterms:W3CDTF">2016-04-13T16:35:00Z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0x01010022618E5C7F9D9040A5AEFB7288B7574E</vt:lpwstr>
  </property>
  <property fmtid="{D5CDD505-2E9C-101B-9397-08002B2CF9AE}" pid="3" name="TaxKeyword">
    <vt:lpwstr/>
  </property>
</Properties>
</file>